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4E" w:rsidRPr="0025757A" w:rsidRDefault="00B4784E" w:rsidP="00935BF0">
      <w:pPr>
        <w:ind w:left="5954"/>
      </w:pPr>
      <w:r w:rsidRPr="0025757A">
        <w:t>ЗАТВЕРДЖЕНО</w:t>
      </w:r>
    </w:p>
    <w:p w:rsidR="0069483A" w:rsidRPr="0025757A" w:rsidRDefault="0069483A" w:rsidP="00B4784E">
      <w:pPr>
        <w:ind w:left="5954"/>
      </w:pPr>
      <w:r w:rsidRPr="0025757A">
        <w:t>наказ</w:t>
      </w:r>
      <w:r w:rsidR="00B4784E" w:rsidRPr="0025757A">
        <w:t>ом</w:t>
      </w:r>
      <w:r w:rsidRPr="0025757A">
        <w:t xml:space="preserve"> </w:t>
      </w:r>
      <w:r w:rsidR="002773DD" w:rsidRPr="0025757A">
        <w:t>к</w:t>
      </w:r>
      <w:r w:rsidRPr="0025757A">
        <w:t>ерівника апарату</w:t>
      </w:r>
    </w:p>
    <w:p w:rsidR="0069483A" w:rsidRPr="0025757A" w:rsidRDefault="008818E1" w:rsidP="00B4784E">
      <w:pPr>
        <w:ind w:left="5954"/>
      </w:pPr>
      <w:r w:rsidRPr="0025757A">
        <w:t>Південно-західного</w:t>
      </w:r>
      <w:r w:rsidR="0069483A" w:rsidRPr="0025757A">
        <w:t xml:space="preserve"> апеляційного</w:t>
      </w:r>
    </w:p>
    <w:p w:rsidR="00B4784E" w:rsidRPr="0025757A" w:rsidRDefault="0069483A" w:rsidP="00B4784E">
      <w:pPr>
        <w:ind w:left="5954"/>
      </w:pPr>
      <w:r w:rsidRPr="0025757A">
        <w:t>господарського суду</w:t>
      </w:r>
    </w:p>
    <w:p w:rsidR="0069483A" w:rsidRPr="0025757A" w:rsidRDefault="009C5E48" w:rsidP="00B4784E">
      <w:pPr>
        <w:ind w:left="5954"/>
      </w:pPr>
      <w:r w:rsidRPr="0025757A">
        <w:t xml:space="preserve">від </w:t>
      </w:r>
      <w:r w:rsidR="00C30E31" w:rsidRPr="0025757A">
        <w:t>10.07</w:t>
      </w:r>
      <w:r w:rsidR="00A003BE" w:rsidRPr="0025757A">
        <w:t>.2019</w:t>
      </w:r>
      <w:r w:rsidR="000F4470" w:rsidRPr="0025757A">
        <w:t xml:space="preserve"> </w:t>
      </w:r>
      <w:r w:rsidR="00441926" w:rsidRPr="0025757A">
        <w:t xml:space="preserve">№ </w:t>
      </w:r>
      <w:r w:rsidR="00EE6EC7">
        <w:t>163</w:t>
      </w:r>
      <w:r w:rsidR="0069483A" w:rsidRPr="0025757A">
        <w:t>-к</w:t>
      </w:r>
      <w:bookmarkStart w:id="0" w:name="_GoBack"/>
      <w:bookmarkEnd w:id="0"/>
    </w:p>
    <w:p w:rsidR="0069483A" w:rsidRPr="0025757A" w:rsidRDefault="0069483A" w:rsidP="00212510">
      <w:pPr>
        <w:pStyle w:val="rvps7"/>
        <w:spacing w:before="0" w:beforeAutospacing="0" w:after="0" w:afterAutospacing="0"/>
        <w:jc w:val="center"/>
        <w:rPr>
          <w:rStyle w:val="rvts15"/>
        </w:rPr>
      </w:pPr>
      <w:r w:rsidRPr="0025757A">
        <w:rPr>
          <w:rStyle w:val="rvts15"/>
        </w:rPr>
        <w:t>УМОВИ</w:t>
      </w:r>
    </w:p>
    <w:p w:rsidR="00BA3519" w:rsidRPr="0025757A" w:rsidRDefault="0069483A" w:rsidP="006D313E">
      <w:pPr>
        <w:pStyle w:val="rvps7"/>
        <w:spacing w:before="0" w:beforeAutospacing="0" w:after="0" w:afterAutospacing="0"/>
        <w:jc w:val="center"/>
        <w:rPr>
          <w:rStyle w:val="rvts15"/>
        </w:rPr>
      </w:pPr>
      <w:r w:rsidRPr="0025757A">
        <w:rPr>
          <w:rStyle w:val="rvts15"/>
        </w:rPr>
        <w:t xml:space="preserve">проведення конкурсу на </w:t>
      </w:r>
      <w:r w:rsidR="00A003BE" w:rsidRPr="0025757A">
        <w:rPr>
          <w:rStyle w:val="rvts15"/>
        </w:rPr>
        <w:t>зайняття</w:t>
      </w:r>
      <w:r w:rsidR="00BA3519" w:rsidRPr="0025757A">
        <w:rPr>
          <w:rStyle w:val="rvts15"/>
        </w:rPr>
        <w:t xml:space="preserve"> посади державної служби</w:t>
      </w:r>
      <w:r w:rsidR="002067BE" w:rsidRPr="0025757A">
        <w:rPr>
          <w:rStyle w:val="rvts15"/>
        </w:rPr>
        <w:t xml:space="preserve"> категорії «</w:t>
      </w:r>
      <w:r w:rsidR="007C1A90" w:rsidRPr="0025757A">
        <w:rPr>
          <w:rStyle w:val="rvts15"/>
        </w:rPr>
        <w:t>В</w:t>
      </w:r>
      <w:r w:rsidR="00B66D66" w:rsidRPr="0025757A">
        <w:rPr>
          <w:rStyle w:val="rvts15"/>
        </w:rPr>
        <w:t xml:space="preserve">» – </w:t>
      </w:r>
    </w:p>
    <w:p w:rsidR="0069483A" w:rsidRPr="0025757A" w:rsidRDefault="00C30E31" w:rsidP="006D313E">
      <w:pPr>
        <w:pStyle w:val="rvps7"/>
        <w:spacing w:before="0" w:beforeAutospacing="0" w:after="0" w:afterAutospacing="0"/>
        <w:jc w:val="center"/>
        <w:rPr>
          <w:rStyle w:val="rvts15"/>
        </w:rPr>
      </w:pPr>
      <w:r w:rsidRPr="0025757A">
        <w:rPr>
          <w:rStyle w:val="rvts15"/>
        </w:rPr>
        <w:t>головного спеціаліста</w:t>
      </w:r>
      <w:r w:rsidR="007C1A90" w:rsidRPr="0025757A">
        <w:rPr>
          <w:rStyle w:val="rvts15"/>
        </w:rPr>
        <w:t xml:space="preserve"> відділу </w:t>
      </w:r>
      <w:r w:rsidRPr="0025757A">
        <w:rPr>
          <w:rStyle w:val="rvts15"/>
        </w:rPr>
        <w:t>документообігу (канцелярія)</w:t>
      </w:r>
    </w:p>
    <w:p w:rsidR="0069483A" w:rsidRPr="0025757A" w:rsidRDefault="008818E1" w:rsidP="00095D31">
      <w:pPr>
        <w:pStyle w:val="rvps7"/>
        <w:spacing w:before="0" w:beforeAutospacing="0" w:after="0" w:afterAutospacing="0"/>
        <w:jc w:val="center"/>
        <w:rPr>
          <w:rStyle w:val="rvts15"/>
        </w:rPr>
      </w:pPr>
      <w:r w:rsidRPr="0025757A">
        <w:t>Південно-західного</w:t>
      </w:r>
      <w:r w:rsidRPr="0025757A">
        <w:rPr>
          <w:rStyle w:val="rvts15"/>
        </w:rPr>
        <w:t xml:space="preserve"> </w:t>
      </w:r>
      <w:r w:rsidR="0069483A" w:rsidRPr="0025757A">
        <w:rPr>
          <w:rStyle w:val="rvts15"/>
        </w:rPr>
        <w:t>апеляційного господарського суду</w:t>
      </w:r>
    </w:p>
    <w:p w:rsidR="00924F06" w:rsidRDefault="00924F06" w:rsidP="00095D31">
      <w:pPr>
        <w:pStyle w:val="rvps7"/>
        <w:spacing w:before="0" w:beforeAutospacing="0" w:after="0" w:afterAutospacing="0"/>
        <w:jc w:val="center"/>
        <w:rPr>
          <w:rStyle w:val="rvts15"/>
        </w:rPr>
      </w:pPr>
      <w:r w:rsidRPr="0025757A">
        <w:rPr>
          <w:rStyle w:val="rvts15"/>
        </w:rPr>
        <w:t>м. Одеса, проспект Шевченка,29</w:t>
      </w:r>
    </w:p>
    <w:p w:rsidR="0025757A" w:rsidRPr="0025757A" w:rsidRDefault="0025757A" w:rsidP="00095D31">
      <w:pPr>
        <w:pStyle w:val="rvps7"/>
        <w:spacing w:before="0" w:beforeAutospacing="0" w:after="0" w:afterAutospacing="0"/>
        <w:jc w:val="center"/>
        <w:rPr>
          <w:rStyle w:val="rvts15"/>
        </w:rPr>
      </w:pP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25757A" w:rsidTr="00590E29">
        <w:tc>
          <w:tcPr>
            <w:tcW w:w="10154" w:type="dxa"/>
            <w:gridSpan w:val="5"/>
            <w:vAlign w:val="center"/>
          </w:tcPr>
          <w:p w:rsidR="0069483A" w:rsidRPr="0025757A" w:rsidRDefault="0069483A" w:rsidP="000514FA">
            <w:pPr>
              <w:pStyle w:val="rvps12"/>
              <w:jc w:val="center"/>
              <w:rPr>
                <w:b/>
              </w:rPr>
            </w:pPr>
            <w:bookmarkStart w:id="1" w:name="n196"/>
            <w:bookmarkEnd w:id="1"/>
            <w:r w:rsidRPr="0025757A">
              <w:rPr>
                <w:b/>
              </w:rPr>
              <w:t>Загальні умови</w:t>
            </w:r>
          </w:p>
        </w:tc>
      </w:tr>
      <w:tr w:rsidR="00A003BE" w:rsidRPr="0025757A" w:rsidTr="00590E29">
        <w:tc>
          <w:tcPr>
            <w:tcW w:w="5183" w:type="dxa"/>
            <w:gridSpan w:val="4"/>
          </w:tcPr>
          <w:p w:rsidR="00A003BE" w:rsidRPr="0025757A" w:rsidRDefault="00A003BE" w:rsidP="000514FA">
            <w:pPr>
              <w:pStyle w:val="rvps14"/>
            </w:pPr>
            <w:r w:rsidRPr="0025757A">
              <w:t>Посадові обов’язки</w:t>
            </w:r>
          </w:p>
        </w:tc>
        <w:tc>
          <w:tcPr>
            <w:tcW w:w="4971" w:type="dxa"/>
          </w:tcPr>
          <w:p w:rsidR="00C30E31" w:rsidRPr="0025757A" w:rsidRDefault="00C30E31" w:rsidP="00C30E31">
            <w:pPr>
              <w:pStyle w:val="a4"/>
              <w:tabs>
                <w:tab w:val="left" w:pos="1276"/>
              </w:tabs>
              <w:spacing w:before="0" w:beforeAutospacing="0" w:after="0" w:afterAutospacing="0" w:line="264" w:lineRule="auto"/>
              <w:rPr>
                <w:lang w:val="uk-UA"/>
              </w:rPr>
            </w:pPr>
            <w:r w:rsidRPr="0025757A">
              <w:rPr>
                <w:lang w:val="uk-UA"/>
              </w:rPr>
              <w:t>здійснення реєстрації апеляційних скарг, заяв за нововиявленими обставинами, судових справ та матеріалів оскарження ухвал, документів до них; перевірка стану судової справи, матеріалів оскарження ухвал, наявність додатків, зазначених в апеляційній скарзі; здійснення внесення в автоматизовану систему документообігу суду даних відповідно до внутрішнього розподілу обов’язків; передача апеляційних скарг (заяв за нововиявленими обставинами) разом зі справами, матеріалами оскарження ухвал відповідним суддям через помічників суддів під особистий підпис; підготовка супровідних листів до апеляційних скарг, які надійшли поштою безпосередньо до суду для направлення до місцевих господарських судів;</w:t>
            </w:r>
          </w:p>
          <w:p w:rsidR="00C30E31" w:rsidRPr="0025757A" w:rsidRDefault="00C30E31" w:rsidP="00C30E31">
            <w:pPr>
              <w:pStyle w:val="a4"/>
              <w:tabs>
                <w:tab w:val="left" w:pos="1276"/>
              </w:tabs>
              <w:spacing w:before="0" w:beforeAutospacing="0" w:after="0" w:afterAutospacing="0" w:line="264" w:lineRule="auto"/>
              <w:rPr>
                <w:lang w:val="uk-UA"/>
              </w:rPr>
            </w:pPr>
            <w:r w:rsidRPr="0025757A">
              <w:rPr>
                <w:lang w:val="uk-UA"/>
              </w:rPr>
              <w:t>реєстрація документів і кореспонденції, що надійшли до суду; отримання касаційних скарг та документів до них, здійснення їх реєстрації в автоматизованій системі документообігу суду; перевірка відповідність наявних додатків із вказаними у касаційній скарзі;</w:t>
            </w:r>
          </w:p>
          <w:p w:rsidR="00C30E31" w:rsidRPr="0025757A" w:rsidRDefault="00C30E31" w:rsidP="00C30E31">
            <w:pPr>
              <w:pStyle w:val="a4"/>
              <w:tabs>
                <w:tab w:val="left" w:pos="1276"/>
              </w:tabs>
              <w:spacing w:before="0" w:beforeAutospacing="0" w:after="0" w:afterAutospacing="0" w:line="264" w:lineRule="auto"/>
              <w:rPr>
                <w:lang w:val="uk-UA"/>
              </w:rPr>
            </w:pPr>
            <w:r w:rsidRPr="0025757A">
              <w:rPr>
                <w:lang w:val="uk-UA"/>
              </w:rPr>
              <w:t>підготовка листів до місцевих господарських судів апеляційного округу щодо витребування справ, матеріалів оскарження ухвали в зв’язку з надходженням касаційних скарг;</w:t>
            </w:r>
          </w:p>
          <w:p w:rsidR="00A003BE" w:rsidRPr="0025757A" w:rsidRDefault="00C30E31" w:rsidP="00C30E31">
            <w:pPr>
              <w:pStyle w:val="rvps14"/>
              <w:spacing w:before="0" w:beforeAutospacing="0" w:after="0" w:afterAutospacing="0"/>
            </w:pPr>
            <w:r w:rsidRPr="0025757A">
              <w:t>проведення заходів щодо належного оформлення судових справ, матеріалів оскарження ухвал для відправки до суду касаційної інстанції; підготовка супровідних листів до суду касаційної інстанції для направлення касаційних скарг, судових справ, матеріалів оскарження ухвал, здійснює контроль за їх своєчасним надсиланням; організація та забезпечення своєчасного опрацювання вхідної, вихідної та внутрішньої кореспонденції суду, виконання інших функціональних обов'язків відповідно до посадової інструкції</w:t>
            </w:r>
          </w:p>
        </w:tc>
      </w:tr>
      <w:tr w:rsidR="0069483A" w:rsidRPr="0025757A" w:rsidTr="00590E29">
        <w:tc>
          <w:tcPr>
            <w:tcW w:w="5183" w:type="dxa"/>
            <w:gridSpan w:val="4"/>
            <w:vAlign w:val="center"/>
          </w:tcPr>
          <w:p w:rsidR="0069483A" w:rsidRPr="0025757A" w:rsidRDefault="0069483A" w:rsidP="000514FA">
            <w:pPr>
              <w:pStyle w:val="rvps14"/>
            </w:pPr>
            <w:r w:rsidRPr="0025757A">
              <w:lastRenderedPageBreak/>
              <w:t>Умови оплати праці</w:t>
            </w:r>
          </w:p>
        </w:tc>
        <w:tc>
          <w:tcPr>
            <w:tcW w:w="4971" w:type="dxa"/>
          </w:tcPr>
          <w:p w:rsidR="0069483A" w:rsidRPr="0025757A" w:rsidRDefault="000F4470" w:rsidP="00C30E31">
            <w:pPr>
              <w:pStyle w:val="rvps14"/>
              <w:spacing w:before="0" w:beforeAutospacing="0" w:after="0" w:afterAutospacing="0"/>
            </w:pPr>
            <w:r w:rsidRPr="0025757A">
              <w:t xml:space="preserve">посадовий оклад – </w:t>
            </w:r>
            <w:r w:rsidR="00C30E31" w:rsidRPr="0025757A">
              <w:t>5110</w:t>
            </w:r>
            <w:r w:rsidR="0069483A" w:rsidRPr="0025757A">
              <w:t xml:space="preserve"> грн., надбавки та доплати до посадового окладу відповідно до законодавства</w:t>
            </w:r>
          </w:p>
        </w:tc>
      </w:tr>
      <w:tr w:rsidR="0069483A" w:rsidRPr="0025757A" w:rsidTr="00590E29">
        <w:tc>
          <w:tcPr>
            <w:tcW w:w="5183" w:type="dxa"/>
            <w:gridSpan w:val="4"/>
            <w:vAlign w:val="center"/>
          </w:tcPr>
          <w:p w:rsidR="0069483A" w:rsidRPr="0025757A" w:rsidRDefault="0069483A" w:rsidP="000514FA">
            <w:pPr>
              <w:pStyle w:val="rvps14"/>
            </w:pPr>
            <w:r w:rsidRPr="0025757A">
              <w:t>Інформація про строковість чи безстроковість призначення на посаду</w:t>
            </w:r>
          </w:p>
        </w:tc>
        <w:tc>
          <w:tcPr>
            <w:tcW w:w="4971" w:type="dxa"/>
          </w:tcPr>
          <w:p w:rsidR="0069483A" w:rsidRPr="0025757A" w:rsidRDefault="00C30E31" w:rsidP="005B0D48">
            <w:pPr>
              <w:pStyle w:val="rvps14"/>
              <w:spacing w:before="0" w:beforeAutospacing="0" w:after="0" w:afterAutospacing="0"/>
            </w:pPr>
            <w:r w:rsidRPr="0025757A">
              <w:t>безстрокове призначення</w:t>
            </w:r>
          </w:p>
        </w:tc>
      </w:tr>
      <w:tr w:rsidR="0069483A" w:rsidRPr="0025757A" w:rsidTr="00590E29">
        <w:tc>
          <w:tcPr>
            <w:tcW w:w="5183" w:type="dxa"/>
            <w:gridSpan w:val="4"/>
          </w:tcPr>
          <w:p w:rsidR="0069483A" w:rsidRPr="0025757A" w:rsidRDefault="0069483A" w:rsidP="000514FA">
            <w:pPr>
              <w:pStyle w:val="rvps14"/>
            </w:pPr>
            <w:r w:rsidRPr="0025757A">
              <w:t>Перелік документів, необхідних для участі в конкурсі, та строк їх подання</w:t>
            </w:r>
          </w:p>
        </w:tc>
        <w:tc>
          <w:tcPr>
            <w:tcW w:w="4971" w:type="dxa"/>
          </w:tcPr>
          <w:p w:rsidR="0069483A" w:rsidRPr="0025757A" w:rsidRDefault="0069483A" w:rsidP="00961C48">
            <w:pPr>
              <w:pStyle w:val="rvps2"/>
              <w:spacing w:before="0" w:beforeAutospacing="0" w:after="0" w:afterAutospacing="0"/>
            </w:pPr>
            <w:r w:rsidRPr="0025757A">
              <w:t>1. Копія паспорта громадянина України.</w:t>
            </w:r>
          </w:p>
          <w:p w:rsidR="0069483A" w:rsidRPr="0025757A" w:rsidRDefault="0069483A" w:rsidP="00961C48">
            <w:pPr>
              <w:pStyle w:val="rvps2"/>
              <w:spacing w:before="0" w:beforeAutospacing="0" w:after="0" w:afterAutospacing="0"/>
            </w:pPr>
            <w:r w:rsidRPr="0025757A">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25757A" w:rsidRDefault="0069483A" w:rsidP="00961C48">
            <w:pPr>
              <w:pStyle w:val="rvps2"/>
              <w:spacing w:before="0" w:beforeAutospacing="0" w:after="0" w:afterAutospacing="0"/>
            </w:pPr>
            <w:r w:rsidRPr="0025757A">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25757A" w:rsidRDefault="0069483A" w:rsidP="00961C48">
            <w:pPr>
              <w:pStyle w:val="rvps2"/>
              <w:spacing w:before="0" w:beforeAutospacing="0" w:after="0" w:afterAutospacing="0"/>
            </w:pPr>
            <w:r w:rsidRPr="0025757A">
              <w:t>4. Копі</w:t>
            </w:r>
            <w:r w:rsidR="008D47DF" w:rsidRPr="0025757A">
              <w:t>я</w:t>
            </w:r>
            <w:r w:rsidRPr="0025757A">
              <w:t xml:space="preserve"> документа (документів) про освіту.</w:t>
            </w:r>
          </w:p>
          <w:p w:rsidR="00441926" w:rsidRPr="0025757A" w:rsidRDefault="00441926" w:rsidP="00441926">
            <w:pPr>
              <w:pStyle w:val="rvps2"/>
              <w:spacing w:before="0" w:beforeAutospacing="0" w:after="0" w:afterAutospacing="0"/>
            </w:pPr>
            <w:r w:rsidRPr="0025757A">
              <w:t xml:space="preserve">5. </w:t>
            </w:r>
            <w:r w:rsidR="007A03DA" w:rsidRPr="0025757A">
              <w:t>Оригінал п</w:t>
            </w:r>
            <w:r w:rsidRPr="0025757A">
              <w:t>освідчення атестації щодо вільного володіння державною мовою.</w:t>
            </w:r>
          </w:p>
          <w:p w:rsidR="00441926" w:rsidRPr="0025757A" w:rsidRDefault="00441926" w:rsidP="00441926">
            <w:pPr>
              <w:pStyle w:val="rvps2"/>
              <w:spacing w:before="0" w:beforeAutospacing="0" w:after="0" w:afterAutospacing="0"/>
            </w:pPr>
            <w:r w:rsidRPr="0025757A">
              <w:t>6. Заповнена особова картка встановленого зразка.</w:t>
            </w:r>
          </w:p>
          <w:p w:rsidR="00441926" w:rsidRPr="0025757A" w:rsidRDefault="00441926" w:rsidP="00441926">
            <w:pPr>
              <w:pStyle w:val="rvps2"/>
              <w:spacing w:before="0" w:beforeAutospacing="0" w:after="0" w:afterAutospacing="0"/>
            </w:pPr>
            <w:r w:rsidRPr="0025757A">
              <w:t>7. Декларація особи, уповноваженої на виконання функцій держави або місцевого самоврядування, за 201</w:t>
            </w:r>
            <w:r w:rsidR="00BF3539" w:rsidRPr="0025757A">
              <w:t>8</w:t>
            </w:r>
            <w:r w:rsidR="00A003BE" w:rsidRPr="0025757A">
              <w:t xml:space="preserve"> рік. П</w:t>
            </w:r>
            <w:r w:rsidRPr="0025757A">
              <w:t>одається в порядку, передбаченому Законом Укр</w:t>
            </w:r>
            <w:r w:rsidR="00A003BE" w:rsidRPr="0025757A">
              <w:t>аїни «Про запобігання корупції» (</w:t>
            </w:r>
            <w:r w:rsidR="00A003BE" w:rsidRPr="0025757A">
              <w:rPr>
                <w:lang w:eastAsia="ru-RU"/>
              </w:rPr>
              <w:t>роздрукований примірник із сайту Національного агентства з питань запобігання корупції)</w:t>
            </w:r>
            <w:r w:rsidRPr="0025757A">
              <w:t>.</w:t>
            </w:r>
          </w:p>
          <w:p w:rsidR="00A959EB" w:rsidRPr="0025757A" w:rsidRDefault="00A959EB" w:rsidP="00441926">
            <w:pPr>
              <w:pStyle w:val="rvps2"/>
              <w:spacing w:before="0" w:beforeAutospacing="0" w:after="0" w:afterAutospacing="0"/>
            </w:pPr>
            <w:r w:rsidRPr="0025757A">
              <w:rPr>
                <w:lang w:eastAsia="ru-RU"/>
              </w:rPr>
              <w:t>Служба управління персоналом проводить перевірку на відповідність встановленим законом вимогам документів, поданих кандидатами (у тому числі на відповідність оригіналам документів).</w:t>
            </w:r>
          </w:p>
          <w:p w:rsidR="00441926" w:rsidRPr="0025757A" w:rsidRDefault="008818E1" w:rsidP="00441926">
            <w:pPr>
              <w:pStyle w:val="rvps2"/>
              <w:spacing w:before="0" w:beforeAutospacing="0" w:after="0" w:afterAutospacing="0"/>
            </w:pPr>
            <w:r w:rsidRPr="0025757A">
              <w:t>Строк подання документів: 1</w:t>
            </w:r>
            <w:r w:rsidR="00C37C7B" w:rsidRPr="0025757A">
              <w:t>5</w:t>
            </w:r>
            <w:r w:rsidR="00CF25DB" w:rsidRPr="0025757A">
              <w:t xml:space="preserve"> календарни</w:t>
            </w:r>
            <w:r w:rsidR="00412424" w:rsidRPr="0025757A">
              <w:t>х</w:t>
            </w:r>
            <w:r w:rsidR="00CF25DB" w:rsidRPr="0025757A">
              <w:t xml:space="preserve"> д</w:t>
            </w:r>
            <w:r w:rsidR="00B77FD8" w:rsidRPr="0025757A">
              <w:t>ні</w:t>
            </w:r>
            <w:r w:rsidRPr="0025757A">
              <w:t>в</w:t>
            </w:r>
            <w:r w:rsidR="00441926" w:rsidRPr="0025757A">
              <w:t xml:space="preserve"> з дня оприлюднення інформації про проведення конкурсу на офіційному сайті Національного агентства з питань державної служби.</w:t>
            </w:r>
          </w:p>
          <w:p w:rsidR="0045670C" w:rsidRPr="0025757A" w:rsidRDefault="00441926" w:rsidP="00494982">
            <w:pPr>
              <w:pStyle w:val="rvps2"/>
              <w:spacing w:before="0" w:beforeAutospacing="0" w:after="0" w:afterAutospacing="0"/>
            </w:pPr>
            <w:r w:rsidRPr="0025757A">
              <w:t xml:space="preserve">Останній день прийому документів – </w:t>
            </w:r>
            <w:r w:rsidRPr="0025757A">
              <w:br/>
            </w:r>
            <w:r w:rsidR="00C30E31" w:rsidRPr="0025757A">
              <w:t>24</w:t>
            </w:r>
            <w:r w:rsidR="00A959EB" w:rsidRPr="0025757A">
              <w:t xml:space="preserve"> </w:t>
            </w:r>
            <w:r w:rsidR="00C30E31" w:rsidRPr="0025757A">
              <w:t>липня</w:t>
            </w:r>
            <w:r w:rsidRPr="0025757A">
              <w:t xml:space="preserve"> 201</w:t>
            </w:r>
            <w:r w:rsidR="00590E29" w:rsidRPr="0025757A">
              <w:t>9</w:t>
            </w:r>
            <w:r w:rsidRPr="0025757A">
              <w:t xml:space="preserve"> року до </w:t>
            </w:r>
            <w:r w:rsidR="00590E29" w:rsidRPr="0025757A">
              <w:t>1</w:t>
            </w:r>
            <w:r w:rsidR="00A959EB" w:rsidRPr="0025757A">
              <w:t>8</w:t>
            </w:r>
            <w:r w:rsidR="00590E29" w:rsidRPr="0025757A">
              <w:t>:00</w:t>
            </w:r>
          </w:p>
          <w:p w:rsidR="00C37C7B" w:rsidRPr="0025757A" w:rsidRDefault="00C37C7B" w:rsidP="00494982">
            <w:pPr>
              <w:pStyle w:val="rvps2"/>
              <w:spacing w:before="0" w:beforeAutospacing="0" w:after="0" w:afterAutospacing="0"/>
            </w:pPr>
          </w:p>
        </w:tc>
      </w:tr>
      <w:tr w:rsidR="00EE6EC7" w:rsidRPr="0025757A" w:rsidTr="00590E29">
        <w:tc>
          <w:tcPr>
            <w:tcW w:w="5183" w:type="dxa"/>
            <w:gridSpan w:val="4"/>
          </w:tcPr>
          <w:p w:rsidR="00EE6EC7" w:rsidRPr="0025757A" w:rsidRDefault="00EE6EC7" w:rsidP="000514FA">
            <w:pPr>
              <w:pStyle w:val="rvps14"/>
            </w:pPr>
            <w:r>
              <w:t>Додаткові (необов’язкові) документи</w:t>
            </w:r>
          </w:p>
        </w:tc>
        <w:tc>
          <w:tcPr>
            <w:tcW w:w="4971" w:type="dxa"/>
          </w:tcPr>
          <w:p w:rsidR="00EE6EC7" w:rsidRPr="0025757A" w:rsidRDefault="00EE6EC7" w:rsidP="00EE6EC7">
            <w:pPr>
              <w:pStyle w:val="rvps2"/>
              <w:spacing w:before="0" w:beforeAutospacing="0" w:after="0" w:afterAutospacing="0"/>
            </w:pPr>
            <w:r>
              <w:t>Заява щодо забезпечення розумності пристосування за формою згідно з додатком 3 до Порядку проведення конкурсу на зайняття посад державної служби</w:t>
            </w:r>
          </w:p>
        </w:tc>
      </w:tr>
      <w:tr w:rsidR="0069483A" w:rsidRPr="0025757A" w:rsidTr="00590E29">
        <w:tc>
          <w:tcPr>
            <w:tcW w:w="5183" w:type="dxa"/>
            <w:gridSpan w:val="4"/>
            <w:tcBorders>
              <w:bottom w:val="single" w:sz="4" w:space="0" w:color="auto"/>
            </w:tcBorders>
          </w:tcPr>
          <w:p w:rsidR="0069483A" w:rsidRPr="0025757A" w:rsidRDefault="00512FED" w:rsidP="00EC09C7">
            <w:pPr>
              <w:pStyle w:val="rvps14"/>
            </w:pPr>
            <w:r w:rsidRPr="0025757A">
              <w:t xml:space="preserve">Місце, час та дата початку проведення </w:t>
            </w:r>
            <w:r w:rsidR="00EC09C7">
              <w:t>тестування</w:t>
            </w:r>
          </w:p>
        </w:tc>
        <w:tc>
          <w:tcPr>
            <w:tcW w:w="4971" w:type="dxa"/>
            <w:tcBorders>
              <w:bottom w:val="single" w:sz="4" w:space="0" w:color="auto"/>
            </w:tcBorders>
          </w:tcPr>
          <w:p w:rsidR="00AC3605" w:rsidRPr="0025757A" w:rsidRDefault="00AC3605" w:rsidP="00961C48">
            <w:pPr>
              <w:pStyle w:val="rvps7"/>
              <w:spacing w:before="0" w:beforeAutospacing="0" w:after="0" w:afterAutospacing="0"/>
            </w:pPr>
            <w:r w:rsidRPr="0025757A">
              <w:rPr>
                <w:rStyle w:val="rvts15"/>
              </w:rPr>
              <w:t>м. Одеса, проспект Шевченка, 29,</w:t>
            </w:r>
          </w:p>
          <w:p w:rsidR="0069483A" w:rsidRPr="0025757A" w:rsidRDefault="00ED4C45" w:rsidP="00494982">
            <w:pPr>
              <w:pStyle w:val="rvps7"/>
              <w:spacing w:before="0" w:beforeAutospacing="0" w:after="0" w:afterAutospacing="0"/>
            </w:pPr>
            <w:r w:rsidRPr="0025757A">
              <w:t>о</w:t>
            </w:r>
            <w:r w:rsidR="00480628" w:rsidRPr="0025757A">
              <w:t>б</w:t>
            </w:r>
            <w:r w:rsidRPr="0025757A">
              <w:t xml:space="preserve"> 1</w:t>
            </w:r>
            <w:r w:rsidR="00303B28" w:rsidRPr="0025757A">
              <w:t>1</w:t>
            </w:r>
            <w:r w:rsidR="0069483A" w:rsidRPr="0025757A">
              <w:t>:</w:t>
            </w:r>
            <w:r w:rsidR="00441926" w:rsidRPr="0025757A">
              <w:t>0</w:t>
            </w:r>
            <w:r w:rsidR="00AC3605" w:rsidRPr="0025757A">
              <w:t>0</w:t>
            </w:r>
            <w:r w:rsidR="00C30E31" w:rsidRPr="0025757A">
              <w:t xml:space="preserve"> </w:t>
            </w:r>
            <w:r w:rsidR="00215830">
              <w:t>31 липня</w:t>
            </w:r>
            <w:r w:rsidR="00CF0AFB" w:rsidRPr="0025757A">
              <w:t xml:space="preserve"> 201</w:t>
            </w:r>
            <w:r w:rsidR="00590E29" w:rsidRPr="0025757A">
              <w:t>9</w:t>
            </w:r>
            <w:r w:rsidR="00CF0AFB" w:rsidRPr="0025757A">
              <w:t xml:space="preserve"> року</w:t>
            </w:r>
          </w:p>
          <w:p w:rsidR="00C37C7B" w:rsidRPr="0025757A" w:rsidRDefault="00C37C7B" w:rsidP="00494982">
            <w:pPr>
              <w:pStyle w:val="rvps7"/>
              <w:spacing w:before="0" w:beforeAutospacing="0" w:after="0" w:afterAutospacing="0"/>
            </w:pPr>
          </w:p>
        </w:tc>
      </w:tr>
      <w:tr w:rsidR="0069483A" w:rsidRPr="0025757A"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E62CB5" w:rsidRPr="0025757A" w:rsidRDefault="0069483A" w:rsidP="00E62CB5">
            <w:pPr>
              <w:pStyle w:val="rvps14"/>
            </w:pPr>
            <w:r w:rsidRPr="0025757A">
              <w:t xml:space="preserve">Прізвище, ім’я та по батькові, номер телефону та адреса електронної пошти особи, яка надає додаткову інформацію з питань проведення </w:t>
            </w:r>
            <w:r w:rsidRPr="0025757A">
              <w:lastRenderedPageBreak/>
              <w:t>конкурсу</w:t>
            </w:r>
          </w:p>
          <w:p w:rsidR="00C37C7B" w:rsidRPr="0025757A" w:rsidRDefault="00C37C7B" w:rsidP="00E62CB5">
            <w:pPr>
              <w:pStyle w:val="rvps14"/>
            </w:pPr>
          </w:p>
        </w:tc>
        <w:tc>
          <w:tcPr>
            <w:tcW w:w="4971" w:type="dxa"/>
            <w:tcBorders>
              <w:top w:val="single" w:sz="4" w:space="0" w:color="auto"/>
              <w:left w:val="single" w:sz="4" w:space="0" w:color="auto"/>
              <w:bottom w:val="single" w:sz="4" w:space="0" w:color="auto"/>
              <w:right w:val="single" w:sz="4" w:space="0" w:color="auto"/>
            </w:tcBorders>
          </w:tcPr>
          <w:p w:rsidR="0069483A" w:rsidRPr="0025757A" w:rsidRDefault="0069483A" w:rsidP="00961C48">
            <w:pPr>
              <w:pStyle w:val="rvps14"/>
              <w:spacing w:before="0" w:beforeAutospacing="0" w:after="0" w:afterAutospacing="0"/>
            </w:pPr>
            <w:proofErr w:type="spellStart"/>
            <w:r w:rsidRPr="0025757A">
              <w:lastRenderedPageBreak/>
              <w:t>Толокнова</w:t>
            </w:r>
            <w:proofErr w:type="spellEnd"/>
            <w:r w:rsidRPr="0025757A">
              <w:t xml:space="preserve"> Олена Петрівна т. (048</w:t>
            </w:r>
            <w:r w:rsidR="00E62CB5" w:rsidRPr="0025757A">
              <w:t>2</w:t>
            </w:r>
            <w:r w:rsidRPr="0025757A">
              <w:t>)301-409</w:t>
            </w:r>
          </w:p>
          <w:p w:rsidR="0069483A" w:rsidRPr="0025757A" w:rsidRDefault="00F24B5D" w:rsidP="00961C48">
            <w:r w:rsidRPr="0025757A">
              <w:t>personal</w:t>
            </w:r>
            <w:r w:rsidR="0069483A" w:rsidRPr="0025757A">
              <w:t>@</w:t>
            </w:r>
            <w:r w:rsidRPr="0025757A">
              <w:t>swag.cout.</w:t>
            </w:r>
            <w:r w:rsidR="0069483A" w:rsidRPr="0025757A">
              <w:t>gov.ua</w:t>
            </w:r>
          </w:p>
          <w:p w:rsidR="0069483A" w:rsidRPr="0025757A" w:rsidRDefault="0069483A" w:rsidP="00961C48">
            <w:pPr>
              <w:pStyle w:val="rvps14"/>
              <w:spacing w:before="0" w:beforeAutospacing="0" w:after="0" w:afterAutospacing="0"/>
            </w:pPr>
          </w:p>
        </w:tc>
      </w:tr>
      <w:tr w:rsidR="00167A20" w:rsidRPr="0025757A" w:rsidTr="00590E29">
        <w:trPr>
          <w:trHeight w:val="423"/>
        </w:trPr>
        <w:tc>
          <w:tcPr>
            <w:tcW w:w="10154" w:type="dxa"/>
            <w:gridSpan w:val="5"/>
            <w:tcBorders>
              <w:top w:val="single" w:sz="4" w:space="0" w:color="auto"/>
            </w:tcBorders>
          </w:tcPr>
          <w:p w:rsidR="00167A20" w:rsidRPr="0025757A" w:rsidRDefault="00167A20" w:rsidP="001D0FA9">
            <w:pPr>
              <w:pStyle w:val="rvps12"/>
              <w:jc w:val="center"/>
              <w:rPr>
                <w:b/>
              </w:rPr>
            </w:pPr>
            <w:r w:rsidRPr="0025757A">
              <w:rPr>
                <w:b/>
              </w:rPr>
              <w:t>Кваліфікаційні вимоги</w:t>
            </w:r>
          </w:p>
        </w:tc>
      </w:tr>
      <w:tr w:rsidR="00167A20" w:rsidRPr="0025757A" w:rsidTr="00590E29">
        <w:trPr>
          <w:trHeight w:val="329"/>
        </w:trPr>
        <w:tc>
          <w:tcPr>
            <w:tcW w:w="798" w:type="dxa"/>
          </w:tcPr>
          <w:p w:rsidR="00167A20" w:rsidRPr="0025757A" w:rsidRDefault="00167A20" w:rsidP="001D0FA9">
            <w:pPr>
              <w:pStyle w:val="rvps12"/>
              <w:spacing w:before="0" w:beforeAutospacing="0" w:after="0" w:afterAutospacing="0"/>
              <w:jc w:val="center"/>
            </w:pPr>
            <w:r w:rsidRPr="0025757A">
              <w:t>1</w:t>
            </w:r>
          </w:p>
        </w:tc>
        <w:tc>
          <w:tcPr>
            <w:tcW w:w="2542" w:type="dxa"/>
          </w:tcPr>
          <w:p w:rsidR="00167A20" w:rsidRPr="0025757A" w:rsidRDefault="00167A20" w:rsidP="001D0FA9">
            <w:pPr>
              <w:pStyle w:val="rvps12"/>
              <w:spacing w:before="0" w:beforeAutospacing="0" w:after="0" w:afterAutospacing="0"/>
              <w:rPr>
                <w:b/>
              </w:rPr>
            </w:pPr>
            <w:r w:rsidRPr="0025757A">
              <w:rPr>
                <w:lang w:eastAsia="ru-RU"/>
              </w:rPr>
              <w:t>Освіта</w:t>
            </w:r>
          </w:p>
        </w:tc>
        <w:tc>
          <w:tcPr>
            <w:tcW w:w="6814" w:type="dxa"/>
            <w:gridSpan w:val="3"/>
          </w:tcPr>
          <w:p w:rsidR="00167A20" w:rsidRPr="0025757A" w:rsidRDefault="00BB6AC0" w:rsidP="00C80E21">
            <w:pPr>
              <w:pStyle w:val="rvps12"/>
              <w:spacing w:before="0" w:beforeAutospacing="0" w:after="0" w:afterAutospacing="0"/>
              <w:rPr>
                <w:b/>
              </w:rPr>
            </w:pPr>
            <w:r w:rsidRPr="0025757A">
              <w:rPr>
                <w:lang w:eastAsia="ru-RU"/>
              </w:rPr>
              <w:t xml:space="preserve">вища, за ступенем </w:t>
            </w:r>
            <w:r w:rsidR="00BF3539" w:rsidRPr="0025757A">
              <w:rPr>
                <w:lang w:eastAsia="ru-RU"/>
              </w:rPr>
              <w:t>не нижче молодшого бакалавра або бакалавра</w:t>
            </w:r>
          </w:p>
        </w:tc>
      </w:tr>
      <w:tr w:rsidR="00167A20" w:rsidRPr="0025757A" w:rsidTr="00590E29">
        <w:trPr>
          <w:trHeight w:val="409"/>
        </w:trPr>
        <w:tc>
          <w:tcPr>
            <w:tcW w:w="798" w:type="dxa"/>
          </w:tcPr>
          <w:p w:rsidR="00167A20" w:rsidRPr="0025757A" w:rsidRDefault="00167A20" w:rsidP="001D0FA9">
            <w:pPr>
              <w:pStyle w:val="Style1"/>
              <w:rPr>
                <w:lang w:val="uk-UA"/>
              </w:rPr>
            </w:pPr>
            <w:r w:rsidRPr="0025757A">
              <w:rPr>
                <w:lang w:val="uk-UA"/>
              </w:rPr>
              <w:t>2</w:t>
            </w:r>
          </w:p>
        </w:tc>
        <w:tc>
          <w:tcPr>
            <w:tcW w:w="2542" w:type="dxa"/>
          </w:tcPr>
          <w:p w:rsidR="00167A20" w:rsidRPr="0025757A" w:rsidRDefault="00167A20" w:rsidP="001D0FA9">
            <w:pPr>
              <w:pStyle w:val="Style1"/>
              <w:jc w:val="left"/>
              <w:rPr>
                <w:b/>
                <w:lang w:val="uk-UA"/>
              </w:rPr>
            </w:pPr>
            <w:r w:rsidRPr="0025757A">
              <w:rPr>
                <w:lang w:val="uk-UA"/>
              </w:rPr>
              <w:t xml:space="preserve">Досвід роботи </w:t>
            </w:r>
          </w:p>
        </w:tc>
        <w:tc>
          <w:tcPr>
            <w:tcW w:w="6814" w:type="dxa"/>
            <w:gridSpan w:val="3"/>
          </w:tcPr>
          <w:p w:rsidR="00167A20" w:rsidRPr="0025757A" w:rsidRDefault="00BF3539" w:rsidP="00EC35D2">
            <w:pPr>
              <w:jc w:val="both"/>
            </w:pPr>
            <w:r w:rsidRPr="0025757A">
              <w:t>не потребує</w:t>
            </w:r>
          </w:p>
        </w:tc>
      </w:tr>
      <w:tr w:rsidR="00167A20" w:rsidRPr="0025757A" w:rsidTr="00590E29">
        <w:trPr>
          <w:trHeight w:val="312"/>
        </w:trPr>
        <w:tc>
          <w:tcPr>
            <w:tcW w:w="798" w:type="dxa"/>
          </w:tcPr>
          <w:p w:rsidR="00167A20" w:rsidRPr="0025757A" w:rsidRDefault="00167A20" w:rsidP="001D0FA9">
            <w:pPr>
              <w:pStyle w:val="rvps12"/>
              <w:spacing w:before="0" w:beforeAutospacing="0" w:after="0" w:afterAutospacing="0"/>
              <w:jc w:val="center"/>
            </w:pPr>
            <w:r w:rsidRPr="0025757A">
              <w:t>3</w:t>
            </w:r>
          </w:p>
        </w:tc>
        <w:tc>
          <w:tcPr>
            <w:tcW w:w="2542" w:type="dxa"/>
          </w:tcPr>
          <w:p w:rsidR="00167A20" w:rsidRPr="0025757A" w:rsidRDefault="00167A20" w:rsidP="001D0FA9">
            <w:pPr>
              <w:pStyle w:val="rvps12"/>
              <w:spacing w:before="0" w:beforeAutospacing="0" w:after="0" w:afterAutospacing="0"/>
              <w:rPr>
                <w:b/>
              </w:rPr>
            </w:pPr>
            <w:r w:rsidRPr="0025757A">
              <w:rPr>
                <w:lang w:eastAsia="ru-RU"/>
              </w:rPr>
              <w:t>Володіння державною мовою</w:t>
            </w:r>
          </w:p>
        </w:tc>
        <w:tc>
          <w:tcPr>
            <w:tcW w:w="6814" w:type="dxa"/>
            <w:gridSpan w:val="3"/>
          </w:tcPr>
          <w:p w:rsidR="00167A20" w:rsidRPr="0025757A" w:rsidRDefault="00167A20" w:rsidP="001D0FA9">
            <w:pPr>
              <w:pStyle w:val="rvps12"/>
              <w:spacing w:before="0" w:beforeAutospacing="0" w:after="0" w:afterAutospacing="0"/>
              <w:rPr>
                <w:b/>
              </w:rPr>
            </w:pPr>
            <w:r w:rsidRPr="0025757A">
              <w:rPr>
                <w:lang w:eastAsia="ru-RU"/>
              </w:rPr>
              <w:t>вільне володіння державною мовою</w:t>
            </w:r>
          </w:p>
        </w:tc>
      </w:tr>
      <w:tr w:rsidR="00167A20" w:rsidRPr="0025757A" w:rsidTr="00590E29">
        <w:trPr>
          <w:trHeight w:val="312"/>
        </w:trPr>
        <w:tc>
          <w:tcPr>
            <w:tcW w:w="10154" w:type="dxa"/>
            <w:gridSpan w:val="5"/>
          </w:tcPr>
          <w:p w:rsidR="00167A20" w:rsidRPr="0025757A" w:rsidRDefault="000A2375" w:rsidP="001D0FA9">
            <w:pPr>
              <w:pStyle w:val="rvps12"/>
              <w:jc w:val="center"/>
              <w:rPr>
                <w:b/>
              </w:rPr>
            </w:pPr>
            <w:r w:rsidRPr="0025757A">
              <w:rPr>
                <w:b/>
                <w:lang w:eastAsia="ru-RU"/>
              </w:rPr>
              <w:t>Вимоги до</w:t>
            </w:r>
            <w:r w:rsidR="00167A20" w:rsidRPr="0025757A">
              <w:rPr>
                <w:b/>
                <w:lang w:eastAsia="ru-RU"/>
              </w:rPr>
              <w:t xml:space="preserve"> компетентність</w:t>
            </w:r>
          </w:p>
        </w:tc>
      </w:tr>
      <w:tr w:rsidR="00167A20" w:rsidRPr="0025757A" w:rsidTr="00590E29">
        <w:trPr>
          <w:trHeight w:val="185"/>
        </w:trPr>
        <w:tc>
          <w:tcPr>
            <w:tcW w:w="798" w:type="dxa"/>
          </w:tcPr>
          <w:p w:rsidR="00167A20" w:rsidRPr="0025757A" w:rsidRDefault="00167A20" w:rsidP="00763C55">
            <w:pPr>
              <w:pStyle w:val="BodyText24"/>
              <w:jc w:val="center"/>
              <w:rPr>
                <w:b/>
                <w:sz w:val="24"/>
                <w:szCs w:val="24"/>
                <w:lang w:val="uk-UA"/>
              </w:rPr>
            </w:pPr>
          </w:p>
        </w:tc>
        <w:tc>
          <w:tcPr>
            <w:tcW w:w="2542" w:type="dxa"/>
          </w:tcPr>
          <w:p w:rsidR="00167A20" w:rsidRPr="0025757A" w:rsidRDefault="00763C55" w:rsidP="00763C55">
            <w:pPr>
              <w:pStyle w:val="BodyText24"/>
              <w:jc w:val="center"/>
              <w:rPr>
                <w:b/>
                <w:sz w:val="24"/>
                <w:szCs w:val="24"/>
                <w:lang w:val="uk-UA"/>
              </w:rPr>
            </w:pPr>
            <w:r w:rsidRPr="0025757A">
              <w:rPr>
                <w:b/>
                <w:sz w:val="24"/>
                <w:szCs w:val="24"/>
                <w:lang w:val="uk-UA"/>
              </w:rPr>
              <w:t>Вимога</w:t>
            </w:r>
          </w:p>
        </w:tc>
        <w:tc>
          <w:tcPr>
            <w:tcW w:w="6814" w:type="dxa"/>
            <w:gridSpan w:val="3"/>
          </w:tcPr>
          <w:p w:rsidR="00167A20" w:rsidRPr="0025757A" w:rsidRDefault="00763C55" w:rsidP="00763C55">
            <w:pPr>
              <w:pStyle w:val="a4"/>
              <w:spacing w:before="0" w:beforeAutospacing="0" w:after="0" w:afterAutospacing="0"/>
              <w:jc w:val="center"/>
              <w:rPr>
                <w:bCs/>
                <w:lang w:val="uk-UA" w:eastAsia="uk-UA"/>
              </w:rPr>
            </w:pPr>
            <w:r w:rsidRPr="0025757A">
              <w:rPr>
                <w:rFonts w:eastAsia="Times New Roman"/>
                <w:b/>
                <w:lang w:val="uk-UA" w:eastAsia="uk-UA"/>
              </w:rPr>
              <w:t>Компоненти вимоги</w:t>
            </w:r>
          </w:p>
        </w:tc>
      </w:tr>
      <w:tr w:rsidR="00590E29" w:rsidRPr="0025757A" w:rsidTr="00590E29">
        <w:trPr>
          <w:trHeight w:val="185"/>
        </w:trPr>
        <w:tc>
          <w:tcPr>
            <w:tcW w:w="798" w:type="dxa"/>
          </w:tcPr>
          <w:p w:rsidR="00590E29" w:rsidRPr="0025757A" w:rsidRDefault="00590E29" w:rsidP="00CB6A4B">
            <w:pPr>
              <w:autoSpaceDE w:val="0"/>
              <w:autoSpaceDN w:val="0"/>
              <w:jc w:val="center"/>
              <w:rPr>
                <w:lang w:eastAsia="ru-RU"/>
              </w:rPr>
            </w:pPr>
            <w:r w:rsidRPr="0025757A">
              <w:rPr>
                <w:lang w:eastAsia="ru-RU"/>
              </w:rPr>
              <w:t>1</w:t>
            </w:r>
          </w:p>
        </w:tc>
        <w:tc>
          <w:tcPr>
            <w:tcW w:w="2552" w:type="dxa"/>
            <w:gridSpan w:val="2"/>
          </w:tcPr>
          <w:p w:rsidR="00590E29" w:rsidRPr="0025757A" w:rsidRDefault="00590E29" w:rsidP="00CB6A4B">
            <w:pPr>
              <w:autoSpaceDE w:val="0"/>
              <w:autoSpaceDN w:val="0"/>
              <w:rPr>
                <w:lang w:eastAsia="ru-RU"/>
              </w:rPr>
            </w:pPr>
            <w:r w:rsidRPr="0025757A">
              <w:rPr>
                <w:lang w:eastAsia="ru-RU"/>
              </w:rPr>
              <w:t>Якісне виконання поставлених завдань</w:t>
            </w:r>
          </w:p>
        </w:tc>
        <w:tc>
          <w:tcPr>
            <w:tcW w:w="6804" w:type="dxa"/>
            <w:gridSpan w:val="2"/>
          </w:tcPr>
          <w:p w:rsidR="00590E29" w:rsidRPr="0025757A" w:rsidRDefault="00590E29" w:rsidP="00CB6A4B">
            <w:pPr>
              <w:jc w:val="both"/>
              <w:rPr>
                <w:rFonts w:eastAsia="Calibri"/>
                <w:lang w:eastAsia="ru-RU"/>
              </w:rPr>
            </w:pPr>
            <w:r w:rsidRPr="0025757A">
              <w:rPr>
                <w:rFonts w:eastAsia="Calibri"/>
                <w:lang w:eastAsia="ru-RU"/>
              </w:rPr>
              <w:t>1) вміння працювати з інформацією;</w:t>
            </w:r>
          </w:p>
          <w:p w:rsidR="00590E29" w:rsidRPr="0025757A" w:rsidRDefault="00590E29" w:rsidP="00CB6A4B">
            <w:pPr>
              <w:jc w:val="both"/>
              <w:rPr>
                <w:rFonts w:eastAsia="Calibri"/>
                <w:lang w:eastAsia="ru-RU"/>
              </w:rPr>
            </w:pPr>
            <w:r w:rsidRPr="0025757A">
              <w:rPr>
                <w:rFonts w:eastAsia="Calibri"/>
                <w:lang w:eastAsia="ru-RU"/>
              </w:rPr>
              <w:t>2) здатність працювати в декількох проектах одночасно;</w:t>
            </w:r>
          </w:p>
          <w:p w:rsidR="00590E29" w:rsidRPr="0025757A" w:rsidRDefault="00590E29" w:rsidP="00CB6A4B">
            <w:pPr>
              <w:jc w:val="both"/>
              <w:rPr>
                <w:rFonts w:eastAsia="Calibri"/>
                <w:lang w:eastAsia="ru-RU"/>
              </w:rPr>
            </w:pPr>
            <w:r w:rsidRPr="0025757A">
              <w:rPr>
                <w:rFonts w:eastAsia="Calibri"/>
                <w:lang w:eastAsia="ru-RU"/>
              </w:rPr>
              <w:t>3) орієнтація на досягнення кінцевих результатів;</w:t>
            </w:r>
          </w:p>
          <w:p w:rsidR="00590E29" w:rsidRPr="0025757A" w:rsidRDefault="00590E29" w:rsidP="00CB6A4B">
            <w:pPr>
              <w:jc w:val="both"/>
              <w:rPr>
                <w:rFonts w:eastAsia="Calibri"/>
                <w:lang w:eastAsia="ru-RU"/>
              </w:rPr>
            </w:pPr>
            <w:r w:rsidRPr="0025757A">
              <w:rPr>
                <w:rFonts w:eastAsia="Calibri"/>
                <w:lang w:eastAsia="ru-RU"/>
              </w:rPr>
              <w:t>4) вміння вирішувати комплексні завдання;</w:t>
            </w:r>
          </w:p>
          <w:p w:rsidR="00590E29" w:rsidRPr="0025757A" w:rsidRDefault="00590E29" w:rsidP="00CB6A4B">
            <w:pPr>
              <w:jc w:val="both"/>
              <w:rPr>
                <w:rFonts w:eastAsia="Calibri"/>
                <w:lang w:eastAsia="ru-RU"/>
              </w:rPr>
            </w:pPr>
            <w:r w:rsidRPr="0025757A">
              <w:rPr>
                <w:rFonts w:eastAsia="Calibri"/>
                <w:lang w:eastAsia="ru-RU"/>
              </w:rPr>
              <w:t>5) вміння ефективно використовувати ресурси;</w:t>
            </w:r>
          </w:p>
          <w:p w:rsidR="00590E29" w:rsidRPr="0025757A" w:rsidRDefault="00590E29" w:rsidP="00CB6A4B">
            <w:pPr>
              <w:rPr>
                <w:rFonts w:eastAsia="Calibri"/>
                <w:bCs/>
              </w:rPr>
            </w:pPr>
            <w:r w:rsidRPr="0025757A">
              <w:rPr>
                <w:rFonts w:eastAsia="Calibri"/>
                <w:lang w:eastAsia="ru-RU"/>
              </w:rPr>
              <w:t>6) вміння надавати пропозиції, їх аргументувати та презентувати.</w:t>
            </w:r>
          </w:p>
        </w:tc>
      </w:tr>
      <w:tr w:rsidR="00590E29" w:rsidRPr="0025757A" w:rsidTr="00590E29">
        <w:trPr>
          <w:trHeight w:val="166"/>
        </w:trPr>
        <w:tc>
          <w:tcPr>
            <w:tcW w:w="798" w:type="dxa"/>
          </w:tcPr>
          <w:p w:rsidR="00590E29" w:rsidRPr="0025757A" w:rsidRDefault="0025757A" w:rsidP="00CB6A4B">
            <w:pPr>
              <w:jc w:val="center"/>
            </w:pPr>
            <w:r w:rsidRPr="0025757A">
              <w:t>2</w:t>
            </w:r>
          </w:p>
        </w:tc>
        <w:tc>
          <w:tcPr>
            <w:tcW w:w="2552" w:type="dxa"/>
            <w:gridSpan w:val="2"/>
          </w:tcPr>
          <w:p w:rsidR="00590E29" w:rsidRPr="0025757A" w:rsidRDefault="00590E29" w:rsidP="00CB6A4B">
            <w:pPr>
              <w:rPr>
                <w:rFonts w:eastAsia="Calibri"/>
                <w:lang w:eastAsia="ru-RU"/>
              </w:rPr>
            </w:pPr>
            <w:r w:rsidRPr="0025757A">
              <w:rPr>
                <w:rFonts w:eastAsia="Calibri"/>
                <w:lang w:eastAsia="ru-RU"/>
              </w:rPr>
              <w:t>Технічні вміння</w:t>
            </w:r>
          </w:p>
        </w:tc>
        <w:tc>
          <w:tcPr>
            <w:tcW w:w="6804" w:type="dxa"/>
            <w:gridSpan w:val="2"/>
          </w:tcPr>
          <w:p w:rsidR="00590E29" w:rsidRPr="0025757A" w:rsidRDefault="00590E29" w:rsidP="00CB6A4B">
            <w:pPr>
              <w:rPr>
                <w:rFonts w:eastAsia="Calibri"/>
                <w:lang w:eastAsia="ru-RU"/>
              </w:rPr>
            </w:pPr>
            <w:r w:rsidRPr="0025757A">
              <w:rPr>
                <w:rFonts w:eastAsia="Calibri"/>
                <w:lang w:eastAsia="ru-RU"/>
              </w:rPr>
              <w:t>1) вміння використовувати комп'ютерне обладнання та програмне забезпечення, використовувати офісну техніку.</w:t>
            </w:r>
          </w:p>
        </w:tc>
      </w:tr>
      <w:tr w:rsidR="00590E29" w:rsidRPr="0025757A" w:rsidTr="00590E29">
        <w:trPr>
          <w:trHeight w:val="166"/>
        </w:trPr>
        <w:tc>
          <w:tcPr>
            <w:tcW w:w="798" w:type="dxa"/>
          </w:tcPr>
          <w:p w:rsidR="00590E29" w:rsidRPr="0025757A" w:rsidRDefault="0025757A" w:rsidP="00CB6A4B">
            <w:pPr>
              <w:jc w:val="center"/>
            </w:pPr>
            <w:r w:rsidRPr="0025757A">
              <w:t>3</w:t>
            </w:r>
          </w:p>
        </w:tc>
        <w:tc>
          <w:tcPr>
            <w:tcW w:w="2552" w:type="dxa"/>
            <w:gridSpan w:val="2"/>
          </w:tcPr>
          <w:p w:rsidR="00590E29" w:rsidRPr="0025757A" w:rsidRDefault="00590E29" w:rsidP="00CB6A4B">
            <w:pPr>
              <w:rPr>
                <w:rFonts w:eastAsia="Calibri"/>
                <w:lang w:eastAsia="ru-RU"/>
              </w:rPr>
            </w:pPr>
            <w:r w:rsidRPr="0025757A">
              <w:rPr>
                <w:rFonts w:eastAsia="Calibri"/>
                <w:lang w:eastAsia="ru-RU"/>
              </w:rPr>
              <w:t>Особистісні компетенції</w:t>
            </w:r>
          </w:p>
        </w:tc>
        <w:tc>
          <w:tcPr>
            <w:tcW w:w="6804" w:type="dxa"/>
            <w:gridSpan w:val="2"/>
          </w:tcPr>
          <w:p w:rsidR="00590E29" w:rsidRPr="0025757A" w:rsidRDefault="00590E29" w:rsidP="00CB6A4B">
            <w:pPr>
              <w:jc w:val="both"/>
              <w:rPr>
                <w:rFonts w:eastAsia="Calibri"/>
                <w:lang w:eastAsia="ru-RU"/>
              </w:rPr>
            </w:pPr>
            <w:r w:rsidRPr="0025757A">
              <w:rPr>
                <w:rFonts w:eastAsia="Calibri"/>
                <w:lang w:eastAsia="ru-RU"/>
              </w:rPr>
              <w:t>1) відповідальність;</w:t>
            </w:r>
          </w:p>
          <w:p w:rsidR="00590E29" w:rsidRPr="0025757A" w:rsidRDefault="00590E29" w:rsidP="00CB6A4B">
            <w:pPr>
              <w:jc w:val="both"/>
              <w:rPr>
                <w:rFonts w:eastAsia="Calibri"/>
                <w:lang w:eastAsia="ru-RU"/>
              </w:rPr>
            </w:pPr>
            <w:r w:rsidRPr="0025757A">
              <w:rPr>
                <w:rFonts w:eastAsia="Calibri"/>
                <w:lang w:eastAsia="ru-RU"/>
              </w:rPr>
              <w:t>2) системність і самостійність в роботі;</w:t>
            </w:r>
          </w:p>
          <w:p w:rsidR="00590E29" w:rsidRPr="0025757A" w:rsidRDefault="00590E29" w:rsidP="00CB6A4B">
            <w:pPr>
              <w:jc w:val="both"/>
              <w:rPr>
                <w:rFonts w:eastAsia="Calibri"/>
                <w:lang w:eastAsia="ru-RU"/>
              </w:rPr>
            </w:pPr>
            <w:r w:rsidRPr="0025757A">
              <w:rPr>
                <w:rFonts w:eastAsia="Calibri"/>
                <w:lang w:eastAsia="ru-RU"/>
              </w:rPr>
              <w:t>3) уважність до деталей;</w:t>
            </w:r>
          </w:p>
          <w:p w:rsidR="00590E29" w:rsidRPr="0025757A" w:rsidRDefault="00590E29" w:rsidP="00CB6A4B">
            <w:pPr>
              <w:jc w:val="both"/>
              <w:rPr>
                <w:rFonts w:eastAsia="Calibri"/>
                <w:lang w:eastAsia="ru-RU"/>
              </w:rPr>
            </w:pPr>
            <w:r w:rsidRPr="0025757A">
              <w:rPr>
                <w:rFonts w:eastAsia="Calibri"/>
                <w:lang w:eastAsia="ru-RU"/>
              </w:rPr>
              <w:t>4) наполегливість;</w:t>
            </w:r>
          </w:p>
          <w:p w:rsidR="00590E29" w:rsidRPr="0025757A" w:rsidRDefault="00590E29" w:rsidP="00CB6A4B">
            <w:pPr>
              <w:jc w:val="both"/>
              <w:rPr>
                <w:rFonts w:eastAsia="Calibri"/>
                <w:lang w:eastAsia="ru-RU"/>
              </w:rPr>
            </w:pPr>
            <w:r w:rsidRPr="0025757A">
              <w:rPr>
                <w:rFonts w:eastAsia="Calibri"/>
                <w:lang w:eastAsia="ru-RU"/>
              </w:rPr>
              <w:t>5) креативність та ініціативність;</w:t>
            </w:r>
          </w:p>
          <w:p w:rsidR="00590E29" w:rsidRPr="0025757A" w:rsidRDefault="00590E29" w:rsidP="00CB6A4B">
            <w:pPr>
              <w:jc w:val="both"/>
              <w:rPr>
                <w:rFonts w:eastAsia="Calibri"/>
                <w:lang w:eastAsia="ru-RU"/>
              </w:rPr>
            </w:pPr>
            <w:r w:rsidRPr="0025757A">
              <w:rPr>
                <w:rFonts w:eastAsia="Calibri"/>
                <w:lang w:eastAsia="ru-RU"/>
              </w:rPr>
              <w:t>6) орієнтація на саморозвиток;</w:t>
            </w:r>
          </w:p>
          <w:p w:rsidR="00590E29" w:rsidRPr="0025757A" w:rsidRDefault="00590E29" w:rsidP="00BF3539">
            <w:pPr>
              <w:jc w:val="both"/>
              <w:rPr>
                <w:rFonts w:eastAsia="Calibri"/>
                <w:lang w:eastAsia="ru-RU"/>
              </w:rPr>
            </w:pPr>
            <w:r w:rsidRPr="0025757A">
              <w:rPr>
                <w:rFonts w:eastAsia="Calibri"/>
                <w:lang w:eastAsia="ru-RU"/>
              </w:rPr>
              <w:t xml:space="preserve">7) </w:t>
            </w:r>
            <w:r w:rsidR="00BF3539" w:rsidRPr="0025757A">
              <w:rPr>
                <w:rFonts w:eastAsia="Calibri"/>
                <w:lang w:eastAsia="ru-RU"/>
              </w:rPr>
              <w:t>орієнтація на обслуговування.</w:t>
            </w:r>
          </w:p>
        </w:tc>
      </w:tr>
      <w:tr w:rsidR="00590E29" w:rsidRPr="0025757A" w:rsidTr="00590E29">
        <w:trPr>
          <w:trHeight w:val="166"/>
        </w:trPr>
        <w:tc>
          <w:tcPr>
            <w:tcW w:w="10154" w:type="dxa"/>
            <w:gridSpan w:val="5"/>
          </w:tcPr>
          <w:p w:rsidR="00590E29" w:rsidRPr="0025757A" w:rsidRDefault="00590E29" w:rsidP="00CB6A4B">
            <w:pPr>
              <w:jc w:val="center"/>
              <w:rPr>
                <w:rFonts w:eastAsia="Calibri"/>
                <w:b/>
                <w:bCs/>
              </w:rPr>
            </w:pPr>
            <w:r w:rsidRPr="0025757A">
              <w:rPr>
                <w:rFonts w:eastAsia="Calibri"/>
                <w:b/>
                <w:bCs/>
              </w:rPr>
              <w:t>Професійні знання</w:t>
            </w:r>
          </w:p>
        </w:tc>
      </w:tr>
      <w:tr w:rsidR="00590E29" w:rsidRPr="0025757A" w:rsidTr="00590E29">
        <w:trPr>
          <w:trHeight w:val="329"/>
        </w:trPr>
        <w:tc>
          <w:tcPr>
            <w:tcW w:w="3350" w:type="dxa"/>
            <w:gridSpan w:val="3"/>
          </w:tcPr>
          <w:p w:rsidR="00590E29" w:rsidRPr="0025757A" w:rsidRDefault="00590E29" w:rsidP="00CB6A4B">
            <w:pPr>
              <w:jc w:val="center"/>
              <w:rPr>
                <w:b/>
              </w:rPr>
            </w:pPr>
            <w:r w:rsidRPr="0025757A">
              <w:rPr>
                <w:b/>
              </w:rPr>
              <w:t>Вимога</w:t>
            </w:r>
          </w:p>
        </w:tc>
        <w:tc>
          <w:tcPr>
            <w:tcW w:w="6804" w:type="dxa"/>
            <w:gridSpan w:val="2"/>
          </w:tcPr>
          <w:p w:rsidR="00590E29" w:rsidRPr="0025757A" w:rsidRDefault="00590E29" w:rsidP="00CB6A4B">
            <w:pPr>
              <w:jc w:val="center"/>
              <w:rPr>
                <w:b/>
              </w:rPr>
            </w:pPr>
            <w:r w:rsidRPr="0025757A">
              <w:rPr>
                <w:b/>
              </w:rPr>
              <w:t>Компоненти вимоги</w:t>
            </w:r>
          </w:p>
        </w:tc>
      </w:tr>
      <w:tr w:rsidR="00590E29" w:rsidRPr="0025757A" w:rsidTr="00590E29">
        <w:trPr>
          <w:trHeight w:val="166"/>
        </w:trPr>
        <w:tc>
          <w:tcPr>
            <w:tcW w:w="798" w:type="dxa"/>
          </w:tcPr>
          <w:p w:rsidR="00590E29" w:rsidRPr="0025757A" w:rsidRDefault="00590E29" w:rsidP="00CB6A4B">
            <w:pPr>
              <w:jc w:val="center"/>
            </w:pPr>
            <w:r w:rsidRPr="0025757A">
              <w:t>1</w:t>
            </w:r>
          </w:p>
        </w:tc>
        <w:tc>
          <w:tcPr>
            <w:tcW w:w="2552" w:type="dxa"/>
            <w:gridSpan w:val="2"/>
          </w:tcPr>
          <w:p w:rsidR="00590E29" w:rsidRPr="0025757A" w:rsidRDefault="00590E29" w:rsidP="00CB6A4B">
            <w:pPr>
              <w:spacing w:before="100" w:beforeAutospacing="1" w:after="100" w:afterAutospacing="1"/>
              <w:rPr>
                <w:rFonts w:eastAsia="Calibri"/>
              </w:rPr>
            </w:pPr>
            <w:r w:rsidRPr="0025757A">
              <w:rPr>
                <w:rFonts w:eastAsia="Calibri"/>
              </w:rPr>
              <w:t>Знання законодавства</w:t>
            </w:r>
          </w:p>
        </w:tc>
        <w:tc>
          <w:tcPr>
            <w:tcW w:w="6804" w:type="dxa"/>
            <w:gridSpan w:val="2"/>
          </w:tcPr>
          <w:p w:rsidR="00590E29" w:rsidRPr="0025757A" w:rsidRDefault="00590E29" w:rsidP="000D37EF">
            <w:pPr>
              <w:numPr>
                <w:ilvl w:val="0"/>
                <w:numId w:val="1"/>
              </w:numPr>
              <w:tabs>
                <w:tab w:val="left" w:pos="327"/>
              </w:tabs>
              <w:ind w:left="44" w:firstLine="0"/>
            </w:pPr>
            <w:r w:rsidRPr="0025757A">
              <w:t>Конституція України;</w:t>
            </w:r>
          </w:p>
          <w:p w:rsidR="00590E29" w:rsidRPr="0025757A" w:rsidRDefault="00590E29" w:rsidP="000D37EF">
            <w:pPr>
              <w:numPr>
                <w:ilvl w:val="0"/>
                <w:numId w:val="1"/>
              </w:numPr>
              <w:tabs>
                <w:tab w:val="left" w:pos="327"/>
              </w:tabs>
              <w:ind w:left="44" w:firstLine="0"/>
            </w:pPr>
            <w:r w:rsidRPr="0025757A">
              <w:t>Закон України «Про державну службу»;</w:t>
            </w:r>
          </w:p>
          <w:p w:rsidR="00590E29" w:rsidRPr="0025757A" w:rsidRDefault="00590E29" w:rsidP="000D37EF">
            <w:pPr>
              <w:numPr>
                <w:ilvl w:val="0"/>
                <w:numId w:val="1"/>
              </w:numPr>
              <w:tabs>
                <w:tab w:val="left" w:pos="327"/>
              </w:tabs>
              <w:ind w:left="44" w:firstLine="0"/>
              <w:rPr>
                <w:bCs/>
              </w:rPr>
            </w:pPr>
            <w:r w:rsidRPr="0025757A">
              <w:t>Закон України «Про запобігання корупції».</w:t>
            </w:r>
          </w:p>
        </w:tc>
      </w:tr>
      <w:tr w:rsidR="00590E29" w:rsidRPr="0025757A" w:rsidTr="00590E29">
        <w:trPr>
          <w:trHeight w:val="166"/>
        </w:trPr>
        <w:tc>
          <w:tcPr>
            <w:tcW w:w="798" w:type="dxa"/>
          </w:tcPr>
          <w:p w:rsidR="00590E29" w:rsidRPr="0025757A" w:rsidRDefault="00590E29" w:rsidP="00CB6A4B">
            <w:pPr>
              <w:jc w:val="center"/>
            </w:pPr>
            <w:r w:rsidRPr="0025757A">
              <w:t>2</w:t>
            </w:r>
          </w:p>
        </w:tc>
        <w:tc>
          <w:tcPr>
            <w:tcW w:w="2552" w:type="dxa"/>
            <w:gridSpan w:val="2"/>
          </w:tcPr>
          <w:p w:rsidR="00590E29" w:rsidRPr="0025757A" w:rsidRDefault="00590E29" w:rsidP="00CB6A4B">
            <w:pPr>
              <w:spacing w:before="100" w:beforeAutospacing="1" w:after="100" w:afterAutospacing="1"/>
              <w:rPr>
                <w:rFonts w:eastAsia="Calibri"/>
              </w:rPr>
            </w:pPr>
            <w:r w:rsidRPr="0025757A">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C30E31" w:rsidRPr="003514CE" w:rsidRDefault="00C30E31" w:rsidP="003514CE">
            <w:pPr>
              <w:pStyle w:val="ab"/>
              <w:numPr>
                <w:ilvl w:val="0"/>
                <w:numId w:val="13"/>
              </w:numPr>
              <w:tabs>
                <w:tab w:val="left" w:pos="327"/>
                <w:tab w:val="left" w:pos="410"/>
              </w:tabs>
              <w:ind w:right="227"/>
              <w:jc w:val="both"/>
              <w:rPr>
                <w:rFonts w:ascii="Times New Roman" w:hAnsi="Times New Roman"/>
                <w:sz w:val="24"/>
                <w:szCs w:val="24"/>
                <w:lang w:val="uk-UA" w:eastAsia="uk-UA"/>
              </w:rPr>
            </w:pPr>
            <w:r w:rsidRPr="003514CE">
              <w:rPr>
                <w:rFonts w:ascii="Times New Roman" w:hAnsi="Times New Roman"/>
                <w:sz w:val="24"/>
                <w:szCs w:val="24"/>
                <w:lang w:val="uk-UA" w:eastAsia="uk-UA"/>
              </w:rPr>
              <w:t>Закон України «Про судоустрій і статус суддів»;</w:t>
            </w:r>
          </w:p>
          <w:p w:rsidR="003514CE" w:rsidRPr="003514CE" w:rsidRDefault="00C30E31" w:rsidP="0094264B">
            <w:pPr>
              <w:pStyle w:val="ab"/>
              <w:numPr>
                <w:ilvl w:val="0"/>
                <w:numId w:val="13"/>
              </w:numPr>
              <w:tabs>
                <w:tab w:val="left" w:pos="278"/>
                <w:tab w:val="left" w:pos="327"/>
                <w:tab w:val="left" w:pos="410"/>
              </w:tabs>
              <w:ind w:right="227"/>
              <w:jc w:val="both"/>
              <w:rPr>
                <w:rFonts w:ascii="Times New Roman" w:hAnsi="Times New Roman"/>
                <w:sz w:val="24"/>
                <w:szCs w:val="24"/>
                <w:lang w:val="uk-UA" w:eastAsia="uk-UA"/>
              </w:rPr>
            </w:pPr>
            <w:r w:rsidRPr="003514CE">
              <w:rPr>
                <w:rFonts w:ascii="Times New Roman" w:hAnsi="Times New Roman"/>
                <w:sz w:val="24"/>
                <w:szCs w:val="24"/>
                <w:lang w:val="uk-UA" w:eastAsia="uk-UA"/>
              </w:rPr>
              <w:t>Господарський процесуальний кодекс України;</w:t>
            </w:r>
          </w:p>
          <w:p w:rsidR="003514CE" w:rsidRPr="003514CE" w:rsidRDefault="003514CE" w:rsidP="0094264B">
            <w:pPr>
              <w:pStyle w:val="ab"/>
              <w:numPr>
                <w:ilvl w:val="0"/>
                <w:numId w:val="13"/>
              </w:numPr>
              <w:tabs>
                <w:tab w:val="left" w:pos="278"/>
                <w:tab w:val="left" w:pos="327"/>
                <w:tab w:val="left" w:pos="410"/>
              </w:tabs>
              <w:ind w:right="227"/>
              <w:jc w:val="both"/>
              <w:rPr>
                <w:rFonts w:ascii="Times New Roman" w:hAnsi="Times New Roman"/>
                <w:sz w:val="24"/>
                <w:szCs w:val="24"/>
                <w:lang w:val="uk-UA" w:eastAsia="uk-UA"/>
              </w:rPr>
            </w:pPr>
            <w:r w:rsidRPr="003514CE">
              <w:rPr>
                <w:rFonts w:ascii="Times New Roman" w:hAnsi="Times New Roman"/>
                <w:sz w:val="24"/>
                <w:szCs w:val="24"/>
                <w:lang w:val="uk-UA" w:eastAsia="uk-UA"/>
              </w:rPr>
              <w:t>Закон України «Про інформацію»;</w:t>
            </w:r>
          </w:p>
          <w:p w:rsidR="00590E29" w:rsidRPr="003514CE" w:rsidRDefault="00C30E31" w:rsidP="003514CE">
            <w:pPr>
              <w:pStyle w:val="ab"/>
              <w:numPr>
                <w:ilvl w:val="0"/>
                <w:numId w:val="13"/>
              </w:numPr>
              <w:tabs>
                <w:tab w:val="left" w:pos="327"/>
                <w:tab w:val="left" w:pos="410"/>
              </w:tabs>
              <w:ind w:right="227"/>
              <w:jc w:val="both"/>
              <w:rPr>
                <w:rFonts w:ascii="Times New Roman" w:hAnsi="Times New Roman"/>
                <w:sz w:val="24"/>
                <w:szCs w:val="24"/>
                <w:lang w:val="uk-UA" w:eastAsia="uk-UA"/>
              </w:rPr>
            </w:pPr>
            <w:r w:rsidRPr="003514CE">
              <w:rPr>
                <w:rFonts w:ascii="Times New Roman" w:hAnsi="Times New Roman"/>
                <w:sz w:val="24"/>
                <w:szCs w:val="24"/>
                <w:lang w:val="uk-UA" w:eastAsia="uk-UA"/>
              </w:rPr>
              <w:t>Інструкція з діловодства в господарських судах України.</w:t>
            </w:r>
          </w:p>
        </w:tc>
      </w:tr>
    </w:tbl>
    <w:p w:rsidR="00590E29" w:rsidRPr="0025757A" w:rsidRDefault="00590E29"/>
    <w:sectPr w:rsidR="00590E29" w:rsidRPr="0025757A" w:rsidSect="008151D5">
      <w:headerReference w:type="default" r:id="rId7"/>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99" w:rsidRDefault="002B1C99" w:rsidP="00BE5B37">
      <w:r>
        <w:separator/>
      </w:r>
    </w:p>
  </w:endnote>
  <w:endnote w:type="continuationSeparator" w:id="0">
    <w:p w:rsidR="002B1C99" w:rsidRDefault="002B1C99"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99" w:rsidRDefault="002B1C99" w:rsidP="00BE5B37">
      <w:r>
        <w:separator/>
      </w:r>
    </w:p>
  </w:footnote>
  <w:footnote w:type="continuationSeparator" w:id="0">
    <w:p w:rsidR="002B1C99" w:rsidRDefault="002B1C99"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37" w:rsidRDefault="00BE5B37">
    <w:pPr>
      <w:pStyle w:val="a7"/>
      <w:jc w:val="center"/>
    </w:pPr>
    <w:r>
      <w:fldChar w:fldCharType="begin"/>
    </w:r>
    <w:r>
      <w:instrText>PAGE   \* MERGEFORMAT</w:instrText>
    </w:r>
    <w:r>
      <w:fldChar w:fldCharType="separate"/>
    </w:r>
    <w:r w:rsidR="00EE6EC7" w:rsidRPr="00EE6EC7">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15:restartNumberingAfterBreak="0">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A6B006E"/>
    <w:multiLevelType w:val="hybridMultilevel"/>
    <w:tmpl w:val="5AD629D4"/>
    <w:lvl w:ilvl="0" w:tplc="8A322894">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 w15:restartNumberingAfterBreak="0">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AF60D6"/>
    <w:multiLevelType w:val="hybridMultilevel"/>
    <w:tmpl w:val="5906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5A7F35"/>
    <w:multiLevelType w:val="hybridMultilevel"/>
    <w:tmpl w:val="4B72BC38"/>
    <w:lvl w:ilvl="0" w:tplc="B296A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667B51D1"/>
    <w:multiLevelType w:val="hybridMultilevel"/>
    <w:tmpl w:val="D5CC878A"/>
    <w:lvl w:ilvl="0" w:tplc="1D0C9820">
      <w:start w:val="1"/>
      <w:numFmt w:val="decimal"/>
      <w:lvlText w:val="%1)"/>
      <w:lvlJc w:val="left"/>
      <w:pPr>
        <w:ind w:left="735" w:hanging="375"/>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0"/>
  </w:num>
  <w:num w:numId="3">
    <w:abstractNumId w:val="9"/>
  </w:num>
  <w:num w:numId="4">
    <w:abstractNumId w:val="12"/>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 w:numId="12">
    <w:abstractNumId w:val="8"/>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D37EF"/>
    <w:rsid w:val="000E1DAB"/>
    <w:rsid w:val="000E556D"/>
    <w:rsid w:val="000F4470"/>
    <w:rsid w:val="000F494F"/>
    <w:rsid w:val="00106DE3"/>
    <w:rsid w:val="00115237"/>
    <w:rsid w:val="0012328F"/>
    <w:rsid w:val="00126CD3"/>
    <w:rsid w:val="00137896"/>
    <w:rsid w:val="00167A20"/>
    <w:rsid w:val="00170475"/>
    <w:rsid w:val="001843E4"/>
    <w:rsid w:val="001C32AD"/>
    <w:rsid w:val="001C71FC"/>
    <w:rsid w:val="001D127F"/>
    <w:rsid w:val="001D485E"/>
    <w:rsid w:val="00203362"/>
    <w:rsid w:val="002067BE"/>
    <w:rsid w:val="00212510"/>
    <w:rsid w:val="00215830"/>
    <w:rsid w:val="00221451"/>
    <w:rsid w:val="0022394C"/>
    <w:rsid w:val="0025119A"/>
    <w:rsid w:val="0025757A"/>
    <w:rsid w:val="00270195"/>
    <w:rsid w:val="00270C31"/>
    <w:rsid w:val="002773DD"/>
    <w:rsid w:val="002B0D43"/>
    <w:rsid w:val="002B1C99"/>
    <w:rsid w:val="002B6DD2"/>
    <w:rsid w:val="002C2ECE"/>
    <w:rsid w:val="002C5D30"/>
    <w:rsid w:val="002C7780"/>
    <w:rsid w:val="002E749B"/>
    <w:rsid w:val="002F7A91"/>
    <w:rsid w:val="00303B28"/>
    <w:rsid w:val="00304E6A"/>
    <w:rsid w:val="00305C10"/>
    <w:rsid w:val="0030731F"/>
    <w:rsid w:val="003163B0"/>
    <w:rsid w:val="00324203"/>
    <w:rsid w:val="0033377A"/>
    <w:rsid w:val="003452CB"/>
    <w:rsid w:val="003514CE"/>
    <w:rsid w:val="003606AB"/>
    <w:rsid w:val="00370F2D"/>
    <w:rsid w:val="003916C5"/>
    <w:rsid w:val="003A3C36"/>
    <w:rsid w:val="003A72F5"/>
    <w:rsid w:val="003B09E4"/>
    <w:rsid w:val="003C1C24"/>
    <w:rsid w:val="003F3C5E"/>
    <w:rsid w:val="00412424"/>
    <w:rsid w:val="004378B6"/>
    <w:rsid w:val="00441926"/>
    <w:rsid w:val="00450529"/>
    <w:rsid w:val="00454C0F"/>
    <w:rsid w:val="0045670C"/>
    <w:rsid w:val="0046691C"/>
    <w:rsid w:val="00480628"/>
    <w:rsid w:val="00494982"/>
    <w:rsid w:val="004C5086"/>
    <w:rsid w:val="004E35A0"/>
    <w:rsid w:val="004F1322"/>
    <w:rsid w:val="004F3D06"/>
    <w:rsid w:val="00504AB4"/>
    <w:rsid w:val="00511BD0"/>
    <w:rsid w:val="00512FED"/>
    <w:rsid w:val="0052473F"/>
    <w:rsid w:val="005633D0"/>
    <w:rsid w:val="00571034"/>
    <w:rsid w:val="005729EA"/>
    <w:rsid w:val="00590E29"/>
    <w:rsid w:val="005A3B75"/>
    <w:rsid w:val="005B0D48"/>
    <w:rsid w:val="005C2B54"/>
    <w:rsid w:val="005D081B"/>
    <w:rsid w:val="005D1E9F"/>
    <w:rsid w:val="005E274D"/>
    <w:rsid w:val="005E436B"/>
    <w:rsid w:val="005F25BB"/>
    <w:rsid w:val="005F76D3"/>
    <w:rsid w:val="006225DB"/>
    <w:rsid w:val="00640B6D"/>
    <w:rsid w:val="00670F5C"/>
    <w:rsid w:val="0067402E"/>
    <w:rsid w:val="0069483A"/>
    <w:rsid w:val="006A0C5A"/>
    <w:rsid w:val="006D1527"/>
    <w:rsid w:val="006D313E"/>
    <w:rsid w:val="006E6E53"/>
    <w:rsid w:val="006F42FF"/>
    <w:rsid w:val="006F72E1"/>
    <w:rsid w:val="0072734E"/>
    <w:rsid w:val="00740779"/>
    <w:rsid w:val="007459A3"/>
    <w:rsid w:val="00763C55"/>
    <w:rsid w:val="00772D62"/>
    <w:rsid w:val="007A03DA"/>
    <w:rsid w:val="007C1A90"/>
    <w:rsid w:val="007E145F"/>
    <w:rsid w:val="007F1E42"/>
    <w:rsid w:val="007F1FE0"/>
    <w:rsid w:val="008151D5"/>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4524"/>
    <w:rsid w:val="00964536"/>
    <w:rsid w:val="00984C0D"/>
    <w:rsid w:val="00986D86"/>
    <w:rsid w:val="00994A67"/>
    <w:rsid w:val="009B60D2"/>
    <w:rsid w:val="009C5E48"/>
    <w:rsid w:val="009E5982"/>
    <w:rsid w:val="00A003BE"/>
    <w:rsid w:val="00A05119"/>
    <w:rsid w:val="00A40796"/>
    <w:rsid w:val="00A419C2"/>
    <w:rsid w:val="00A459D5"/>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1034E"/>
    <w:rsid w:val="00C1081D"/>
    <w:rsid w:val="00C17854"/>
    <w:rsid w:val="00C2387E"/>
    <w:rsid w:val="00C30E31"/>
    <w:rsid w:val="00C37C7B"/>
    <w:rsid w:val="00C43BF3"/>
    <w:rsid w:val="00C546F1"/>
    <w:rsid w:val="00C54D35"/>
    <w:rsid w:val="00C66DE3"/>
    <w:rsid w:val="00C73899"/>
    <w:rsid w:val="00C80E21"/>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09C7"/>
    <w:rsid w:val="00EC35D2"/>
    <w:rsid w:val="00EC4B17"/>
    <w:rsid w:val="00ED4C45"/>
    <w:rsid w:val="00EE6EC7"/>
    <w:rsid w:val="00EF7C71"/>
    <w:rsid w:val="00F07B6C"/>
    <w:rsid w:val="00F239B3"/>
    <w:rsid w:val="00F24B5D"/>
    <w:rsid w:val="00F3150D"/>
    <w:rsid w:val="00F46808"/>
    <w:rsid w:val="00F5185E"/>
    <w:rsid w:val="00F602B1"/>
    <w:rsid w:val="00F801E9"/>
    <w:rsid w:val="00F810A2"/>
    <w:rsid w:val="00FA18FB"/>
    <w:rsid w:val="00FA4D8E"/>
    <w:rsid w:val="00FC054A"/>
    <w:rsid w:val="00FC27A0"/>
    <w:rsid w:val="00FC76F5"/>
    <w:rsid w:val="00FD6FE3"/>
    <w:rsid w:val="00FE4C31"/>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B803FD-3D12-4CC0-9AFB-F1DB4A08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5071</cp:lastModifiedBy>
  <cp:revision>18</cp:revision>
  <cp:lastPrinted>2019-07-10T08:01:00Z</cp:lastPrinted>
  <dcterms:created xsi:type="dcterms:W3CDTF">2019-04-18T07:18:00Z</dcterms:created>
  <dcterms:modified xsi:type="dcterms:W3CDTF">2019-07-10T08:04:00Z</dcterms:modified>
</cp:coreProperties>
</file>