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4E" w:rsidRPr="00105739" w:rsidRDefault="00B4784E" w:rsidP="00105739">
      <w:pPr>
        <w:ind w:left="5954"/>
      </w:pPr>
      <w:r w:rsidRPr="00105739">
        <w:t>ЗАТВЕРДЖЕНО</w:t>
      </w:r>
    </w:p>
    <w:p w:rsidR="0069483A" w:rsidRPr="00105739" w:rsidRDefault="0069483A" w:rsidP="00105739">
      <w:pPr>
        <w:ind w:left="5954"/>
      </w:pPr>
      <w:r w:rsidRPr="00105739">
        <w:t>наказ</w:t>
      </w:r>
      <w:r w:rsidR="00B4784E" w:rsidRPr="00105739">
        <w:t>ом</w:t>
      </w:r>
      <w:r w:rsidRPr="00105739">
        <w:t xml:space="preserve"> </w:t>
      </w:r>
      <w:r w:rsidR="002773DD" w:rsidRPr="00105739">
        <w:t>к</w:t>
      </w:r>
      <w:r w:rsidRPr="00105739">
        <w:t>ерівника апарату</w:t>
      </w:r>
    </w:p>
    <w:p w:rsidR="0069483A" w:rsidRPr="00105739" w:rsidRDefault="008818E1" w:rsidP="00105739">
      <w:pPr>
        <w:ind w:left="5954"/>
      </w:pPr>
      <w:r w:rsidRPr="00105739">
        <w:t>Південно-західного</w:t>
      </w:r>
      <w:r w:rsidR="0069483A" w:rsidRPr="00105739">
        <w:t xml:space="preserve"> апеляційного</w:t>
      </w:r>
    </w:p>
    <w:p w:rsidR="00B4784E" w:rsidRPr="00105739" w:rsidRDefault="0069483A" w:rsidP="00105739">
      <w:pPr>
        <w:ind w:left="5954"/>
      </w:pPr>
      <w:r w:rsidRPr="00105739">
        <w:t>господарського суду</w:t>
      </w:r>
    </w:p>
    <w:p w:rsidR="0069483A" w:rsidRPr="00105739" w:rsidRDefault="009C5E48" w:rsidP="00105739">
      <w:pPr>
        <w:ind w:left="5954"/>
      </w:pPr>
      <w:r w:rsidRPr="00105739">
        <w:t xml:space="preserve">від </w:t>
      </w:r>
      <w:r w:rsidR="000B3868" w:rsidRPr="00105739">
        <w:t>11.09.2019</w:t>
      </w:r>
      <w:r w:rsidR="000F4470" w:rsidRPr="00105739">
        <w:t xml:space="preserve"> </w:t>
      </w:r>
      <w:r w:rsidR="00441926" w:rsidRPr="00105739">
        <w:t xml:space="preserve">№ </w:t>
      </w:r>
      <w:r w:rsidR="000B3868" w:rsidRPr="00105739">
        <w:t>23</w:t>
      </w:r>
      <w:r w:rsidR="00127BEA" w:rsidRPr="00105739">
        <w:t>6</w:t>
      </w:r>
      <w:r w:rsidR="0069483A" w:rsidRPr="00105739">
        <w:t>-к</w:t>
      </w:r>
    </w:p>
    <w:p w:rsidR="0069483A" w:rsidRPr="00105739" w:rsidRDefault="0069483A" w:rsidP="00105739">
      <w:pPr>
        <w:pStyle w:val="rvps7"/>
        <w:spacing w:before="0" w:beforeAutospacing="0" w:after="0" w:afterAutospacing="0"/>
        <w:jc w:val="center"/>
        <w:rPr>
          <w:rStyle w:val="rvts15"/>
        </w:rPr>
      </w:pPr>
      <w:r w:rsidRPr="00105739">
        <w:rPr>
          <w:rStyle w:val="rvts15"/>
        </w:rPr>
        <w:t>УМОВИ</w:t>
      </w:r>
    </w:p>
    <w:p w:rsidR="00BA3519" w:rsidRPr="00105739" w:rsidRDefault="0069483A" w:rsidP="00105739">
      <w:pPr>
        <w:pStyle w:val="rvps7"/>
        <w:spacing w:before="0" w:beforeAutospacing="0" w:after="0" w:afterAutospacing="0"/>
        <w:jc w:val="center"/>
        <w:rPr>
          <w:rStyle w:val="rvts15"/>
        </w:rPr>
      </w:pPr>
      <w:r w:rsidRPr="00105739">
        <w:rPr>
          <w:rStyle w:val="rvts15"/>
        </w:rPr>
        <w:t xml:space="preserve">проведення конкурсу на </w:t>
      </w:r>
      <w:r w:rsidR="00A003BE" w:rsidRPr="00105739">
        <w:rPr>
          <w:rStyle w:val="rvts15"/>
        </w:rPr>
        <w:t>зайняття</w:t>
      </w:r>
      <w:r w:rsidR="00BA3519" w:rsidRPr="00105739">
        <w:rPr>
          <w:rStyle w:val="rvts15"/>
        </w:rPr>
        <w:t xml:space="preserve"> посади державної служби</w:t>
      </w:r>
      <w:r w:rsidR="002067BE" w:rsidRPr="00105739">
        <w:rPr>
          <w:rStyle w:val="rvts15"/>
        </w:rPr>
        <w:t xml:space="preserve"> категорії «</w:t>
      </w:r>
      <w:r w:rsidR="007C1A90" w:rsidRPr="00105739">
        <w:rPr>
          <w:rStyle w:val="rvts15"/>
        </w:rPr>
        <w:t>В</w:t>
      </w:r>
      <w:r w:rsidR="00B66D66" w:rsidRPr="00105739">
        <w:rPr>
          <w:rStyle w:val="rvts15"/>
        </w:rPr>
        <w:t xml:space="preserve">» – </w:t>
      </w:r>
    </w:p>
    <w:p w:rsidR="0069483A" w:rsidRPr="00105739" w:rsidRDefault="000B3868" w:rsidP="00105739">
      <w:pPr>
        <w:pStyle w:val="rvps7"/>
        <w:spacing w:before="0" w:beforeAutospacing="0" w:after="0" w:afterAutospacing="0"/>
        <w:jc w:val="center"/>
        <w:rPr>
          <w:rStyle w:val="rvts15"/>
        </w:rPr>
      </w:pPr>
      <w:r w:rsidRPr="00105739">
        <w:rPr>
          <w:rStyle w:val="rvts15"/>
        </w:rPr>
        <w:t xml:space="preserve">головного спеціаліста відділу </w:t>
      </w:r>
      <w:r w:rsidR="00127BEA" w:rsidRPr="00105739">
        <w:rPr>
          <w:rStyle w:val="rvts15"/>
        </w:rPr>
        <w:t>планово-організаційної роботи та розгляду звернень</w:t>
      </w:r>
    </w:p>
    <w:p w:rsidR="0069483A" w:rsidRPr="00105739" w:rsidRDefault="008818E1" w:rsidP="00105739">
      <w:pPr>
        <w:pStyle w:val="rvps7"/>
        <w:spacing w:before="0" w:beforeAutospacing="0" w:after="0" w:afterAutospacing="0"/>
        <w:jc w:val="center"/>
        <w:rPr>
          <w:rStyle w:val="rvts15"/>
        </w:rPr>
      </w:pPr>
      <w:r w:rsidRPr="00105739">
        <w:t>Південно-західного</w:t>
      </w:r>
      <w:r w:rsidRPr="00105739">
        <w:rPr>
          <w:rStyle w:val="rvts15"/>
        </w:rPr>
        <w:t xml:space="preserve"> </w:t>
      </w:r>
      <w:r w:rsidR="0069483A" w:rsidRPr="00105739">
        <w:rPr>
          <w:rStyle w:val="rvts15"/>
        </w:rPr>
        <w:t>апеляційного господарського суду</w:t>
      </w:r>
    </w:p>
    <w:p w:rsidR="00924F06" w:rsidRPr="00105739" w:rsidRDefault="00924F06" w:rsidP="00105739">
      <w:pPr>
        <w:pStyle w:val="rvps7"/>
        <w:spacing w:before="0" w:beforeAutospacing="0" w:after="0" w:afterAutospacing="0"/>
        <w:jc w:val="center"/>
        <w:rPr>
          <w:rStyle w:val="rvts15"/>
        </w:rPr>
      </w:pPr>
      <w:r w:rsidRPr="00105739">
        <w:rPr>
          <w:rStyle w:val="rvts15"/>
        </w:rPr>
        <w:t>м. Одеса, проспект Шевченка,29</w:t>
      </w: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833"/>
        <w:gridCol w:w="4971"/>
      </w:tblGrid>
      <w:tr w:rsidR="0069483A" w:rsidRPr="00105739" w:rsidTr="00590E29">
        <w:tc>
          <w:tcPr>
            <w:tcW w:w="10154" w:type="dxa"/>
            <w:gridSpan w:val="5"/>
            <w:vAlign w:val="center"/>
          </w:tcPr>
          <w:p w:rsidR="0069483A" w:rsidRPr="00105739" w:rsidRDefault="0069483A" w:rsidP="00105739">
            <w:pPr>
              <w:pStyle w:val="rvps12"/>
              <w:jc w:val="center"/>
              <w:rPr>
                <w:b/>
              </w:rPr>
            </w:pPr>
            <w:bookmarkStart w:id="0" w:name="n196"/>
            <w:bookmarkEnd w:id="0"/>
            <w:r w:rsidRPr="00105739">
              <w:rPr>
                <w:b/>
              </w:rPr>
              <w:t>Загальні умови</w:t>
            </w:r>
          </w:p>
        </w:tc>
      </w:tr>
      <w:tr w:rsidR="00127BEA" w:rsidRPr="00105739" w:rsidTr="00590E29">
        <w:tc>
          <w:tcPr>
            <w:tcW w:w="5183" w:type="dxa"/>
            <w:gridSpan w:val="4"/>
          </w:tcPr>
          <w:p w:rsidR="00127BEA" w:rsidRPr="00105739" w:rsidRDefault="00127BEA" w:rsidP="00105739">
            <w:pPr>
              <w:pStyle w:val="rvps14"/>
            </w:pPr>
            <w:r w:rsidRPr="00105739">
              <w:t>Посадові обов’язки</w:t>
            </w:r>
          </w:p>
        </w:tc>
        <w:tc>
          <w:tcPr>
            <w:tcW w:w="4971" w:type="dxa"/>
          </w:tcPr>
          <w:p w:rsidR="00127BEA" w:rsidRPr="00105739" w:rsidRDefault="00127BEA" w:rsidP="00105739">
            <w:pPr>
              <w:pStyle w:val="a4"/>
              <w:tabs>
                <w:tab w:val="left" w:pos="1276"/>
              </w:tabs>
              <w:spacing w:before="0" w:beforeAutospacing="0" w:after="0" w:afterAutospacing="0" w:line="264" w:lineRule="auto"/>
              <w:rPr>
                <w:lang w:val="uk-UA"/>
              </w:rPr>
            </w:pPr>
            <w:r w:rsidRPr="00105739">
              <w:rPr>
                <w:lang w:val="uk-UA"/>
              </w:rPr>
              <w:t>здійснення організаційного забезпечення діяльності керівництва суду; проведення роботи з попереднього розгляду звернень (запитів, заяв, скарг) громадян і організацій; підготовка довідкової інформації на запити учасників судового процесу; забезпечення проведення конференцій, круглих столів, семінарів; підготовка довідкових матеріалів, інформації для звітів з питань роботи суду для розгляду на зборах та нарадах, оприлюднення інформації з питань діяльності суду, інші функціональні обов'язки відповідно до посадової інструкції</w:t>
            </w:r>
          </w:p>
        </w:tc>
      </w:tr>
      <w:tr w:rsidR="00127BEA" w:rsidRPr="00105739" w:rsidTr="00590E29">
        <w:tc>
          <w:tcPr>
            <w:tcW w:w="5183" w:type="dxa"/>
            <w:gridSpan w:val="4"/>
            <w:vAlign w:val="center"/>
          </w:tcPr>
          <w:p w:rsidR="00127BEA" w:rsidRPr="00105739" w:rsidRDefault="00127BEA" w:rsidP="00105739">
            <w:pPr>
              <w:pStyle w:val="rvps14"/>
            </w:pPr>
            <w:r w:rsidRPr="00105739">
              <w:t>Умови оплати праці</w:t>
            </w:r>
          </w:p>
        </w:tc>
        <w:tc>
          <w:tcPr>
            <w:tcW w:w="4971" w:type="dxa"/>
          </w:tcPr>
          <w:p w:rsidR="00127BEA" w:rsidRPr="00105739" w:rsidRDefault="00127BEA" w:rsidP="00105739">
            <w:pPr>
              <w:pStyle w:val="rvps14"/>
              <w:spacing w:before="0" w:beforeAutospacing="0" w:after="0" w:afterAutospacing="0"/>
            </w:pPr>
            <w:r w:rsidRPr="00105739">
              <w:t>посадовий оклад – 5110 грн., надбавки та доплати до посадового окладу відповідно до законодавства</w:t>
            </w:r>
          </w:p>
        </w:tc>
      </w:tr>
      <w:tr w:rsidR="00127BEA" w:rsidRPr="00105739" w:rsidTr="00590E29">
        <w:tc>
          <w:tcPr>
            <w:tcW w:w="5183" w:type="dxa"/>
            <w:gridSpan w:val="4"/>
            <w:vAlign w:val="center"/>
          </w:tcPr>
          <w:p w:rsidR="00127BEA" w:rsidRPr="00105739" w:rsidRDefault="00127BEA" w:rsidP="00105739">
            <w:pPr>
              <w:pStyle w:val="rvps14"/>
            </w:pPr>
            <w:r w:rsidRPr="00105739">
              <w:t>Інформація про строковість чи безстроковість призначення на посаду</w:t>
            </w:r>
          </w:p>
        </w:tc>
        <w:tc>
          <w:tcPr>
            <w:tcW w:w="4971" w:type="dxa"/>
          </w:tcPr>
          <w:p w:rsidR="00127BEA" w:rsidRPr="00105739" w:rsidRDefault="00127BEA" w:rsidP="00105739">
            <w:pPr>
              <w:pStyle w:val="rvps14"/>
              <w:spacing w:before="0" w:beforeAutospacing="0" w:after="0" w:afterAutospacing="0"/>
            </w:pPr>
            <w:r w:rsidRPr="00105739">
              <w:t>безстрокове призначення на посаду</w:t>
            </w:r>
          </w:p>
        </w:tc>
      </w:tr>
      <w:tr w:rsidR="00127BEA" w:rsidRPr="00105739" w:rsidTr="00590E29">
        <w:tc>
          <w:tcPr>
            <w:tcW w:w="5183" w:type="dxa"/>
            <w:gridSpan w:val="4"/>
          </w:tcPr>
          <w:p w:rsidR="00127BEA" w:rsidRPr="00105739" w:rsidRDefault="00127BEA" w:rsidP="00105739">
            <w:pPr>
              <w:pStyle w:val="rvps14"/>
            </w:pPr>
            <w:r w:rsidRPr="00105739">
              <w:t>Перелік документів, необхідних для участі в конкурсі, та строк їх подання</w:t>
            </w:r>
          </w:p>
        </w:tc>
        <w:tc>
          <w:tcPr>
            <w:tcW w:w="4971" w:type="dxa"/>
          </w:tcPr>
          <w:p w:rsidR="00127BEA" w:rsidRPr="00105739" w:rsidRDefault="00127BEA" w:rsidP="00105739">
            <w:pPr>
              <w:pStyle w:val="rvps2"/>
              <w:spacing w:before="0" w:beforeAutospacing="0" w:after="0" w:afterAutospacing="0"/>
            </w:pPr>
            <w:r w:rsidRPr="00105739">
              <w:t>1. Копія паспорта громадянина України.</w:t>
            </w:r>
          </w:p>
          <w:p w:rsidR="00127BEA" w:rsidRPr="00105739" w:rsidRDefault="00127BEA" w:rsidP="00105739">
            <w:pPr>
              <w:pStyle w:val="rvps2"/>
              <w:spacing w:before="0" w:beforeAutospacing="0" w:after="0" w:afterAutospacing="0"/>
            </w:pPr>
            <w:r w:rsidRPr="00105739">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127BEA" w:rsidRPr="00105739" w:rsidRDefault="00127BEA" w:rsidP="00105739">
            <w:pPr>
              <w:pStyle w:val="rvps2"/>
              <w:spacing w:before="0" w:beforeAutospacing="0" w:after="0" w:afterAutospacing="0"/>
            </w:pPr>
            <w:r w:rsidRPr="00105739">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27BEA" w:rsidRPr="00105739" w:rsidRDefault="00127BEA" w:rsidP="00105739">
            <w:pPr>
              <w:pStyle w:val="rvps2"/>
              <w:spacing w:before="0" w:beforeAutospacing="0" w:after="0" w:afterAutospacing="0"/>
            </w:pPr>
            <w:r w:rsidRPr="00105739">
              <w:t>4. Копія документа (документів) про освіту.</w:t>
            </w:r>
          </w:p>
          <w:p w:rsidR="00127BEA" w:rsidRPr="00105739" w:rsidRDefault="00127BEA" w:rsidP="00105739">
            <w:pPr>
              <w:pStyle w:val="rvps2"/>
              <w:spacing w:before="0" w:beforeAutospacing="0" w:after="0" w:afterAutospacing="0"/>
            </w:pPr>
            <w:r w:rsidRPr="00105739">
              <w:t>5. Оригінал посвідчення атестації щодо вільного володіння державною мовою.</w:t>
            </w:r>
          </w:p>
          <w:p w:rsidR="00127BEA" w:rsidRPr="00105739" w:rsidRDefault="00127BEA" w:rsidP="00105739">
            <w:pPr>
              <w:pStyle w:val="rvps2"/>
              <w:spacing w:before="0" w:beforeAutospacing="0" w:after="0" w:afterAutospacing="0"/>
            </w:pPr>
            <w:r w:rsidRPr="00105739">
              <w:t>6. Заповнена особова картка встановленого зразка.</w:t>
            </w:r>
          </w:p>
          <w:p w:rsidR="00127BEA" w:rsidRPr="00105739" w:rsidRDefault="00127BEA" w:rsidP="00105739">
            <w:pPr>
              <w:pStyle w:val="rvps2"/>
              <w:spacing w:before="0" w:beforeAutospacing="0" w:after="0" w:afterAutospacing="0"/>
            </w:pPr>
            <w:r w:rsidRPr="00105739">
              <w:t>7. Декларація особи, уповноваженої на виконання функцій держави або місцевого самоврядування, за 2018 рік. Подається в порядку, передбаченому Законом України «Про запобігання корупції» (</w:t>
            </w:r>
            <w:r w:rsidRPr="00105739">
              <w:rPr>
                <w:lang w:eastAsia="ru-RU"/>
              </w:rPr>
              <w:t>роздрукований примірник із сайту Національного агентства з питань запобігання корупції)</w:t>
            </w:r>
            <w:r w:rsidRPr="00105739">
              <w:t>.</w:t>
            </w:r>
          </w:p>
          <w:p w:rsidR="00127BEA" w:rsidRPr="00105739" w:rsidRDefault="00127BEA" w:rsidP="00105739">
            <w:pPr>
              <w:pStyle w:val="rvps2"/>
              <w:spacing w:before="0" w:beforeAutospacing="0" w:after="0" w:afterAutospacing="0"/>
            </w:pPr>
            <w:r w:rsidRPr="00105739">
              <w:rPr>
                <w:lang w:eastAsia="ru-RU"/>
              </w:rPr>
              <w:lastRenderedPageBreak/>
              <w:t>Служба управління персоналом проводить перевірку на відповідність встановленим законом вимогам документів, поданих кандидатами (у тому числі на відповідність оригіналам документів).</w:t>
            </w:r>
          </w:p>
          <w:p w:rsidR="00127BEA" w:rsidRPr="00105739" w:rsidRDefault="00127BEA" w:rsidP="00105739">
            <w:pPr>
              <w:pStyle w:val="rvps2"/>
              <w:spacing w:before="0" w:beforeAutospacing="0" w:after="0" w:afterAutospacing="0"/>
            </w:pPr>
            <w:r w:rsidRPr="00105739">
              <w:t>Строк подання документів: 16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127BEA" w:rsidRPr="00105739" w:rsidRDefault="00127BEA" w:rsidP="00105739">
            <w:pPr>
              <w:pStyle w:val="rvps2"/>
              <w:spacing w:before="0" w:beforeAutospacing="0" w:after="0" w:afterAutospacing="0"/>
            </w:pPr>
            <w:r w:rsidRPr="00105739">
              <w:t xml:space="preserve">Останній день прийому документів – </w:t>
            </w:r>
            <w:r w:rsidRPr="00105739">
              <w:br/>
              <w:t>26 вересня 2019 року до 18:00</w:t>
            </w:r>
          </w:p>
          <w:p w:rsidR="00127BEA" w:rsidRPr="00105739" w:rsidRDefault="00127BEA" w:rsidP="00105739">
            <w:pPr>
              <w:pStyle w:val="rvps2"/>
              <w:spacing w:before="0" w:beforeAutospacing="0" w:after="0" w:afterAutospacing="0"/>
            </w:pPr>
          </w:p>
        </w:tc>
      </w:tr>
      <w:tr w:rsidR="00127BEA" w:rsidRPr="00105739" w:rsidTr="00590E29">
        <w:tc>
          <w:tcPr>
            <w:tcW w:w="5183" w:type="dxa"/>
            <w:gridSpan w:val="4"/>
          </w:tcPr>
          <w:p w:rsidR="00127BEA" w:rsidRPr="00105739" w:rsidRDefault="00127BEA" w:rsidP="00105739">
            <w:pPr>
              <w:pStyle w:val="rvps14"/>
            </w:pPr>
            <w:r w:rsidRPr="00105739">
              <w:lastRenderedPageBreak/>
              <w:t>Додаткові (необов’язкові) документи</w:t>
            </w:r>
          </w:p>
        </w:tc>
        <w:tc>
          <w:tcPr>
            <w:tcW w:w="4971" w:type="dxa"/>
          </w:tcPr>
          <w:p w:rsidR="00127BEA" w:rsidRPr="00105739" w:rsidRDefault="00127BEA" w:rsidP="00105739">
            <w:pPr>
              <w:pStyle w:val="rvps2"/>
              <w:spacing w:before="0" w:beforeAutospacing="0" w:after="0" w:afterAutospacing="0"/>
            </w:pPr>
            <w:r w:rsidRPr="00105739">
              <w:t>Заява щодо забезпечення розумності пристосування за формою згідно з додатком 3 до Порядку проведення конкурсу на зайняття посад державної служби</w:t>
            </w:r>
          </w:p>
        </w:tc>
      </w:tr>
      <w:tr w:rsidR="00127BEA" w:rsidRPr="00105739" w:rsidTr="00105739">
        <w:tc>
          <w:tcPr>
            <w:tcW w:w="5183" w:type="dxa"/>
            <w:gridSpan w:val="4"/>
            <w:tcBorders>
              <w:bottom w:val="single" w:sz="4" w:space="0" w:color="auto"/>
            </w:tcBorders>
            <w:shd w:val="clear" w:color="auto" w:fill="auto"/>
          </w:tcPr>
          <w:p w:rsidR="00127BEA" w:rsidRPr="00105739" w:rsidRDefault="00C6528C" w:rsidP="00105739">
            <w:pPr>
              <w:pStyle w:val="rvps14"/>
            </w:pPr>
            <w:r w:rsidRPr="00105739">
              <w:t>Місце, час і дата початку проведення перевірки володіння іноземною мовою, яка є однією з офіційних мов Ради Європи/тестування</w:t>
            </w:r>
          </w:p>
        </w:tc>
        <w:tc>
          <w:tcPr>
            <w:tcW w:w="4971" w:type="dxa"/>
            <w:tcBorders>
              <w:bottom w:val="single" w:sz="4" w:space="0" w:color="auto"/>
            </w:tcBorders>
            <w:shd w:val="clear" w:color="auto" w:fill="auto"/>
          </w:tcPr>
          <w:p w:rsidR="00127BEA" w:rsidRPr="00105739" w:rsidRDefault="00127BEA" w:rsidP="00105739">
            <w:pPr>
              <w:pStyle w:val="rvps7"/>
              <w:spacing w:before="0" w:beforeAutospacing="0" w:after="0" w:afterAutospacing="0"/>
            </w:pPr>
            <w:r w:rsidRPr="00105739">
              <w:rPr>
                <w:rStyle w:val="rvts15"/>
              </w:rPr>
              <w:t>м. Одеса, проспект Шевченка, 29,</w:t>
            </w:r>
          </w:p>
          <w:p w:rsidR="00127BEA" w:rsidRPr="00105739" w:rsidRDefault="00127BEA" w:rsidP="00105739">
            <w:pPr>
              <w:pStyle w:val="rvps7"/>
              <w:spacing w:before="0" w:beforeAutospacing="0" w:after="0" w:afterAutospacing="0"/>
            </w:pPr>
            <w:r w:rsidRPr="00105739">
              <w:t xml:space="preserve">об 11:00 </w:t>
            </w:r>
            <w:r w:rsidR="00C6528C" w:rsidRPr="00105739">
              <w:t>03</w:t>
            </w:r>
            <w:r w:rsidRPr="00105739">
              <w:t xml:space="preserve"> жовтня 2019 року</w:t>
            </w:r>
          </w:p>
          <w:p w:rsidR="00127BEA" w:rsidRPr="00105739" w:rsidRDefault="00127BEA" w:rsidP="00105739">
            <w:pPr>
              <w:pStyle w:val="rvps7"/>
              <w:spacing w:before="0" w:beforeAutospacing="0" w:after="0" w:afterAutospacing="0"/>
            </w:pPr>
          </w:p>
        </w:tc>
      </w:tr>
      <w:tr w:rsidR="00127BEA" w:rsidRPr="00105739" w:rsidTr="00590E29">
        <w:tc>
          <w:tcPr>
            <w:tcW w:w="5183" w:type="dxa"/>
            <w:gridSpan w:val="4"/>
            <w:tcBorders>
              <w:top w:val="single" w:sz="4" w:space="0" w:color="auto"/>
              <w:left w:val="single" w:sz="4" w:space="0" w:color="auto"/>
              <w:bottom w:val="single" w:sz="4" w:space="0" w:color="auto"/>
              <w:right w:val="single" w:sz="4" w:space="0" w:color="auto"/>
            </w:tcBorders>
            <w:vAlign w:val="center"/>
          </w:tcPr>
          <w:p w:rsidR="00127BEA" w:rsidRPr="00105739" w:rsidRDefault="00127BEA" w:rsidP="00105739">
            <w:pPr>
              <w:pStyle w:val="rvps14"/>
            </w:pPr>
            <w:r w:rsidRPr="00105739">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971" w:type="dxa"/>
            <w:tcBorders>
              <w:top w:val="single" w:sz="4" w:space="0" w:color="auto"/>
              <w:left w:val="single" w:sz="4" w:space="0" w:color="auto"/>
              <w:bottom w:val="single" w:sz="4" w:space="0" w:color="auto"/>
              <w:right w:val="single" w:sz="4" w:space="0" w:color="auto"/>
            </w:tcBorders>
          </w:tcPr>
          <w:p w:rsidR="00127BEA" w:rsidRPr="00105739" w:rsidRDefault="00127BEA" w:rsidP="00105739">
            <w:pPr>
              <w:pStyle w:val="rvps14"/>
              <w:spacing w:before="0" w:beforeAutospacing="0" w:after="0" w:afterAutospacing="0"/>
            </w:pPr>
            <w:proofErr w:type="spellStart"/>
            <w:r w:rsidRPr="00105739">
              <w:t>Толокнова</w:t>
            </w:r>
            <w:proofErr w:type="spellEnd"/>
            <w:r w:rsidRPr="00105739">
              <w:t xml:space="preserve"> Олена Петрівна т. (0482)301-409</w:t>
            </w:r>
          </w:p>
          <w:p w:rsidR="00127BEA" w:rsidRPr="00105739" w:rsidRDefault="00127BEA" w:rsidP="00105739">
            <w:r w:rsidRPr="00105739">
              <w:t>personal@swag.cout.gov.ua</w:t>
            </w:r>
          </w:p>
          <w:p w:rsidR="00127BEA" w:rsidRPr="00105739" w:rsidRDefault="00127BEA" w:rsidP="00105739">
            <w:pPr>
              <w:pStyle w:val="rvps14"/>
              <w:spacing w:before="0" w:beforeAutospacing="0" w:after="0" w:afterAutospacing="0"/>
            </w:pPr>
          </w:p>
        </w:tc>
      </w:tr>
      <w:tr w:rsidR="00127BEA" w:rsidRPr="00105739" w:rsidTr="00590E29">
        <w:trPr>
          <w:trHeight w:val="423"/>
        </w:trPr>
        <w:tc>
          <w:tcPr>
            <w:tcW w:w="10154" w:type="dxa"/>
            <w:gridSpan w:val="5"/>
            <w:tcBorders>
              <w:top w:val="single" w:sz="4" w:space="0" w:color="auto"/>
            </w:tcBorders>
          </w:tcPr>
          <w:p w:rsidR="00127BEA" w:rsidRPr="00105739" w:rsidRDefault="00127BEA" w:rsidP="00105739">
            <w:pPr>
              <w:pStyle w:val="rvps12"/>
              <w:jc w:val="center"/>
              <w:rPr>
                <w:b/>
              </w:rPr>
            </w:pPr>
            <w:r w:rsidRPr="00105739">
              <w:rPr>
                <w:b/>
              </w:rPr>
              <w:t>Кваліфікаційні вимоги</w:t>
            </w:r>
          </w:p>
        </w:tc>
      </w:tr>
      <w:tr w:rsidR="00127BEA" w:rsidRPr="00105739" w:rsidTr="00590E29">
        <w:trPr>
          <w:trHeight w:val="329"/>
        </w:trPr>
        <w:tc>
          <w:tcPr>
            <w:tcW w:w="798" w:type="dxa"/>
          </w:tcPr>
          <w:p w:rsidR="00127BEA" w:rsidRPr="00105739" w:rsidRDefault="00127BEA" w:rsidP="00105739">
            <w:pPr>
              <w:pStyle w:val="rvps12"/>
              <w:spacing w:before="0" w:beforeAutospacing="0" w:after="0" w:afterAutospacing="0"/>
              <w:jc w:val="center"/>
            </w:pPr>
            <w:r w:rsidRPr="00105739">
              <w:t>1</w:t>
            </w:r>
          </w:p>
        </w:tc>
        <w:tc>
          <w:tcPr>
            <w:tcW w:w="2542" w:type="dxa"/>
          </w:tcPr>
          <w:p w:rsidR="00127BEA" w:rsidRPr="00105739" w:rsidRDefault="00127BEA" w:rsidP="00105739">
            <w:pPr>
              <w:pStyle w:val="rvps12"/>
              <w:spacing w:before="0" w:beforeAutospacing="0" w:after="0" w:afterAutospacing="0"/>
              <w:rPr>
                <w:b/>
              </w:rPr>
            </w:pPr>
            <w:r w:rsidRPr="00105739">
              <w:rPr>
                <w:lang w:eastAsia="ru-RU"/>
              </w:rPr>
              <w:t>Освіта</w:t>
            </w:r>
          </w:p>
        </w:tc>
        <w:tc>
          <w:tcPr>
            <w:tcW w:w="6814" w:type="dxa"/>
            <w:gridSpan w:val="3"/>
          </w:tcPr>
          <w:p w:rsidR="00127BEA" w:rsidRPr="00105739" w:rsidRDefault="00127BEA" w:rsidP="00105739">
            <w:pPr>
              <w:pStyle w:val="rvps12"/>
              <w:spacing w:before="0" w:beforeAutospacing="0" w:after="0" w:afterAutospacing="0"/>
              <w:rPr>
                <w:b/>
              </w:rPr>
            </w:pPr>
            <w:r w:rsidRPr="00105739">
              <w:rPr>
                <w:lang w:eastAsia="ru-RU"/>
              </w:rPr>
              <w:t>вища, за ступенем не нижче молодшого бакалавра або бакалавра</w:t>
            </w:r>
          </w:p>
        </w:tc>
      </w:tr>
      <w:tr w:rsidR="00127BEA" w:rsidRPr="00105739" w:rsidTr="00590E29">
        <w:trPr>
          <w:trHeight w:val="409"/>
        </w:trPr>
        <w:tc>
          <w:tcPr>
            <w:tcW w:w="798" w:type="dxa"/>
          </w:tcPr>
          <w:p w:rsidR="00127BEA" w:rsidRPr="00105739" w:rsidRDefault="00127BEA" w:rsidP="00105739">
            <w:pPr>
              <w:pStyle w:val="Style1"/>
              <w:rPr>
                <w:lang w:val="uk-UA"/>
              </w:rPr>
            </w:pPr>
            <w:r w:rsidRPr="00105739">
              <w:rPr>
                <w:lang w:val="uk-UA"/>
              </w:rPr>
              <w:t>2</w:t>
            </w:r>
          </w:p>
        </w:tc>
        <w:tc>
          <w:tcPr>
            <w:tcW w:w="2542" w:type="dxa"/>
          </w:tcPr>
          <w:p w:rsidR="00127BEA" w:rsidRPr="00105739" w:rsidRDefault="00127BEA" w:rsidP="00105739">
            <w:pPr>
              <w:pStyle w:val="Style1"/>
              <w:jc w:val="left"/>
              <w:rPr>
                <w:b/>
                <w:lang w:val="uk-UA"/>
              </w:rPr>
            </w:pPr>
            <w:r w:rsidRPr="00105739">
              <w:rPr>
                <w:lang w:val="uk-UA"/>
              </w:rPr>
              <w:t xml:space="preserve">Досвід роботи </w:t>
            </w:r>
          </w:p>
        </w:tc>
        <w:tc>
          <w:tcPr>
            <w:tcW w:w="6814" w:type="dxa"/>
            <w:gridSpan w:val="3"/>
          </w:tcPr>
          <w:p w:rsidR="00127BEA" w:rsidRPr="00105739" w:rsidRDefault="00127BEA" w:rsidP="00105739">
            <w:pPr>
              <w:jc w:val="both"/>
            </w:pPr>
            <w:r w:rsidRPr="00105739">
              <w:t>не потребує</w:t>
            </w:r>
          </w:p>
        </w:tc>
      </w:tr>
      <w:tr w:rsidR="00127BEA" w:rsidRPr="00105739" w:rsidTr="00590E29">
        <w:trPr>
          <w:trHeight w:val="312"/>
        </w:trPr>
        <w:tc>
          <w:tcPr>
            <w:tcW w:w="798" w:type="dxa"/>
          </w:tcPr>
          <w:p w:rsidR="00127BEA" w:rsidRPr="00105739" w:rsidRDefault="00127BEA" w:rsidP="00105739">
            <w:pPr>
              <w:pStyle w:val="rvps12"/>
              <w:spacing w:before="0" w:beforeAutospacing="0" w:after="0" w:afterAutospacing="0"/>
              <w:jc w:val="center"/>
            </w:pPr>
            <w:r w:rsidRPr="00105739">
              <w:t>3</w:t>
            </w:r>
          </w:p>
        </w:tc>
        <w:tc>
          <w:tcPr>
            <w:tcW w:w="2542" w:type="dxa"/>
          </w:tcPr>
          <w:p w:rsidR="00127BEA" w:rsidRPr="00105739" w:rsidRDefault="00127BEA" w:rsidP="00105739">
            <w:pPr>
              <w:pStyle w:val="rvps12"/>
              <w:spacing w:before="0" w:beforeAutospacing="0" w:after="0" w:afterAutospacing="0"/>
              <w:rPr>
                <w:b/>
              </w:rPr>
            </w:pPr>
            <w:r w:rsidRPr="00105739">
              <w:rPr>
                <w:lang w:eastAsia="ru-RU"/>
              </w:rPr>
              <w:t>Володіння державною мовою</w:t>
            </w:r>
          </w:p>
        </w:tc>
        <w:tc>
          <w:tcPr>
            <w:tcW w:w="6814" w:type="dxa"/>
            <w:gridSpan w:val="3"/>
          </w:tcPr>
          <w:p w:rsidR="00127BEA" w:rsidRPr="00105739" w:rsidRDefault="00127BEA" w:rsidP="00105739">
            <w:pPr>
              <w:pStyle w:val="rvps12"/>
              <w:spacing w:before="0" w:beforeAutospacing="0" w:after="0" w:afterAutospacing="0"/>
              <w:rPr>
                <w:b/>
              </w:rPr>
            </w:pPr>
            <w:r w:rsidRPr="00105739">
              <w:rPr>
                <w:lang w:eastAsia="ru-RU"/>
              </w:rPr>
              <w:t>вільне володіння державною мовою</w:t>
            </w:r>
          </w:p>
        </w:tc>
      </w:tr>
      <w:tr w:rsidR="00127BEA" w:rsidRPr="00105739" w:rsidTr="00590E29">
        <w:trPr>
          <w:trHeight w:val="312"/>
        </w:trPr>
        <w:tc>
          <w:tcPr>
            <w:tcW w:w="10154" w:type="dxa"/>
            <w:gridSpan w:val="5"/>
          </w:tcPr>
          <w:p w:rsidR="00127BEA" w:rsidRPr="00105739" w:rsidRDefault="00127BEA" w:rsidP="00105739">
            <w:pPr>
              <w:pStyle w:val="rvps12"/>
              <w:jc w:val="center"/>
              <w:rPr>
                <w:b/>
              </w:rPr>
            </w:pPr>
            <w:r w:rsidRPr="00105739">
              <w:rPr>
                <w:b/>
                <w:lang w:eastAsia="ru-RU"/>
              </w:rPr>
              <w:t>Вимоги до компетентність</w:t>
            </w:r>
          </w:p>
        </w:tc>
      </w:tr>
      <w:tr w:rsidR="00127BEA" w:rsidRPr="00105739" w:rsidTr="00590E29">
        <w:trPr>
          <w:trHeight w:val="185"/>
        </w:trPr>
        <w:tc>
          <w:tcPr>
            <w:tcW w:w="798" w:type="dxa"/>
          </w:tcPr>
          <w:p w:rsidR="00127BEA" w:rsidRPr="00105739" w:rsidRDefault="00127BEA" w:rsidP="00105739">
            <w:pPr>
              <w:pStyle w:val="BodyText24"/>
              <w:jc w:val="center"/>
              <w:rPr>
                <w:b/>
                <w:sz w:val="24"/>
                <w:szCs w:val="24"/>
                <w:lang w:val="uk-UA"/>
              </w:rPr>
            </w:pPr>
          </w:p>
        </w:tc>
        <w:tc>
          <w:tcPr>
            <w:tcW w:w="2542" w:type="dxa"/>
          </w:tcPr>
          <w:p w:rsidR="00127BEA" w:rsidRPr="00105739" w:rsidRDefault="00127BEA" w:rsidP="00105739">
            <w:pPr>
              <w:pStyle w:val="BodyText24"/>
              <w:jc w:val="center"/>
              <w:rPr>
                <w:b/>
                <w:sz w:val="24"/>
                <w:szCs w:val="24"/>
                <w:lang w:val="uk-UA"/>
              </w:rPr>
            </w:pPr>
            <w:r w:rsidRPr="00105739">
              <w:rPr>
                <w:b/>
                <w:sz w:val="24"/>
                <w:szCs w:val="24"/>
                <w:lang w:val="uk-UA"/>
              </w:rPr>
              <w:t>Вимога</w:t>
            </w:r>
          </w:p>
        </w:tc>
        <w:tc>
          <w:tcPr>
            <w:tcW w:w="6814" w:type="dxa"/>
            <w:gridSpan w:val="3"/>
          </w:tcPr>
          <w:p w:rsidR="00127BEA" w:rsidRPr="00105739" w:rsidRDefault="00127BEA" w:rsidP="00105739">
            <w:pPr>
              <w:pStyle w:val="a4"/>
              <w:spacing w:before="0" w:beforeAutospacing="0" w:after="0" w:afterAutospacing="0"/>
              <w:jc w:val="center"/>
              <w:rPr>
                <w:bCs/>
                <w:lang w:val="uk-UA" w:eastAsia="uk-UA"/>
              </w:rPr>
            </w:pPr>
            <w:r w:rsidRPr="00105739">
              <w:rPr>
                <w:rFonts w:eastAsia="Times New Roman"/>
                <w:b/>
                <w:lang w:val="uk-UA" w:eastAsia="uk-UA"/>
              </w:rPr>
              <w:t>Компоненти вимоги</w:t>
            </w:r>
          </w:p>
        </w:tc>
      </w:tr>
      <w:tr w:rsidR="00127BEA" w:rsidRPr="00105739" w:rsidTr="00590E29">
        <w:trPr>
          <w:trHeight w:val="185"/>
        </w:trPr>
        <w:tc>
          <w:tcPr>
            <w:tcW w:w="798" w:type="dxa"/>
          </w:tcPr>
          <w:p w:rsidR="00127BEA" w:rsidRPr="00105739" w:rsidRDefault="00127BEA" w:rsidP="00105739">
            <w:pPr>
              <w:autoSpaceDE w:val="0"/>
              <w:autoSpaceDN w:val="0"/>
              <w:jc w:val="center"/>
              <w:rPr>
                <w:lang w:eastAsia="ru-RU"/>
              </w:rPr>
            </w:pPr>
            <w:r w:rsidRPr="00105739">
              <w:rPr>
                <w:lang w:eastAsia="ru-RU"/>
              </w:rPr>
              <w:t>1</w:t>
            </w:r>
          </w:p>
        </w:tc>
        <w:tc>
          <w:tcPr>
            <w:tcW w:w="2552" w:type="dxa"/>
            <w:gridSpan w:val="2"/>
          </w:tcPr>
          <w:p w:rsidR="00127BEA" w:rsidRPr="00105739" w:rsidRDefault="00127BEA" w:rsidP="00105739">
            <w:pPr>
              <w:autoSpaceDE w:val="0"/>
              <w:autoSpaceDN w:val="0"/>
              <w:rPr>
                <w:lang w:eastAsia="ru-RU"/>
              </w:rPr>
            </w:pPr>
            <w:r w:rsidRPr="00105739">
              <w:rPr>
                <w:lang w:eastAsia="ru-RU"/>
              </w:rPr>
              <w:t>Якісне виконання поставлених завдань</w:t>
            </w:r>
          </w:p>
        </w:tc>
        <w:tc>
          <w:tcPr>
            <w:tcW w:w="6804" w:type="dxa"/>
            <w:gridSpan w:val="2"/>
          </w:tcPr>
          <w:p w:rsidR="00127BEA" w:rsidRPr="00105739" w:rsidRDefault="00127BEA" w:rsidP="00105739">
            <w:pPr>
              <w:jc w:val="both"/>
              <w:rPr>
                <w:rFonts w:eastAsia="Calibri"/>
                <w:lang w:eastAsia="ru-RU"/>
              </w:rPr>
            </w:pPr>
            <w:r w:rsidRPr="00105739">
              <w:rPr>
                <w:rFonts w:eastAsia="Calibri"/>
                <w:lang w:eastAsia="ru-RU"/>
              </w:rPr>
              <w:t>1) вміння працювати з інформацією;</w:t>
            </w:r>
          </w:p>
          <w:p w:rsidR="00127BEA" w:rsidRPr="00105739" w:rsidRDefault="00127BEA" w:rsidP="00105739">
            <w:pPr>
              <w:jc w:val="both"/>
              <w:rPr>
                <w:rFonts w:eastAsia="Calibri"/>
                <w:lang w:eastAsia="ru-RU"/>
              </w:rPr>
            </w:pPr>
            <w:r w:rsidRPr="00105739">
              <w:rPr>
                <w:rFonts w:eastAsia="Calibri"/>
                <w:lang w:eastAsia="ru-RU"/>
              </w:rPr>
              <w:t>2) здатність працювати в декількох проектах одночасно;</w:t>
            </w:r>
          </w:p>
          <w:p w:rsidR="00127BEA" w:rsidRPr="00105739" w:rsidRDefault="00127BEA" w:rsidP="00105739">
            <w:pPr>
              <w:jc w:val="both"/>
              <w:rPr>
                <w:rFonts w:eastAsia="Calibri"/>
                <w:lang w:eastAsia="ru-RU"/>
              </w:rPr>
            </w:pPr>
            <w:r w:rsidRPr="00105739">
              <w:rPr>
                <w:rFonts w:eastAsia="Calibri"/>
                <w:lang w:eastAsia="ru-RU"/>
              </w:rPr>
              <w:t>3) орієнтація на досягнення кінцевих результатів;</w:t>
            </w:r>
          </w:p>
          <w:p w:rsidR="00127BEA" w:rsidRPr="00105739" w:rsidRDefault="00127BEA" w:rsidP="00105739">
            <w:pPr>
              <w:jc w:val="both"/>
              <w:rPr>
                <w:rFonts w:eastAsia="Calibri"/>
                <w:lang w:eastAsia="ru-RU"/>
              </w:rPr>
            </w:pPr>
            <w:r w:rsidRPr="00105739">
              <w:rPr>
                <w:rFonts w:eastAsia="Calibri"/>
                <w:lang w:eastAsia="ru-RU"/>
              </w:rPr>
              <w:t>4) вміння вирішувати комплексні завдання;</w:t>
            </w:r>
          </w:p>
          <w:p w:rsidR="00127BEA" w:rsidRPr="00105739" w:rsidRDefault="00127BEA" w:rsidP="00105739">
            <w:pPr>
              <w:jc w:val="both"/>
              <w:rPr>
                <w:rFonts w:eastAsia="Calibri"/>
                <w:lang w:eastAsia="ru-RU"/>
              </w:rPr>
            </w:pPr>
            <w:r w:rsidRPr="00105739">
              <w:rPr>
                <w:rFonts w:eastAsia="Calibri"/>
                <w:lang w:eastAsia="ru-RU"/>
              </w:rPr>
              <w:t>5) вміння ефективно використовувати ресурси;</w:t>
            </w:r>
          </w:p>
          <w:p w:rsidR="00127BEA" w:rsidRDefault="00127BEA" w:rsidP="00105739">
            <w:pPr>
              <w:rPr>
                <w:rFonts w:eastAsia="Calibri"/>
                <w:lang w:eastAsia="ru-RU"/>
              </w:rPr>
            </w:pPr>
            <w:r w:rsidRPr="00105739">
              <w:rPr>
                <w:rFonts w:eastAsia="Calibri"/>
                <w:lang w:eastAsia="ru-RU"/>
              </w:rPr>
              <w:t>6) вміння надавати пропозиції, їх аргументувати та презентувати.</w:t>
            </w:r>
          </w:p>
          <w:p w:rsidR="00105739" w:rsidRPr="00105739" w:rsidRDefault="00105739" w:rsidP="00105739">
            <w:pPr>
              <w:rPr>
                <w:rFonts w:eastAsia="Calibri"/>
                <w:bCs/>
              </w:rPr>
            </w:pPr>
            <w:bookmarkStart w:id="1" w:name="_GoBack"/>
            <w:bookmarkEnd w:id="1"/>
          </w:p>
        </w:tc>
      </w:tr>
      <w:tr w:rsidR="00127BEA" w:rsidRPr="00105739" w:rsidTr="00590E29">
        <w:trPr>
          <w:trHeight w:val="166"/>
        </w:trPr>
        <w:tc>
          <w:tcPr>
            <w:tcW w:w="798" w:type="dxa"/>
          </w:tcPr>
          <w:p w:rsidR="00127BEA" w:rsidRPr="00105739" w:rsidRDefault="00127BEA" w:rsidP="00105739">
            <w:pPr>
              <w:jc w:val="center"/>
            </w:pPr>
            <w:r w:rsidRPr="00105739">
              <w:t>2</w:t>
            </w:r>
          </w:p>
        </w:tc>
        <w:tc>
          <w:tcPr>
            <w:tcW w:w="2552" w:type="dxa"/>
            <w:gridSpan w:val="2"/>
          </w:tcPr>
          <w:p w:rsidR="00127BEA" w:rsidRPr="00105739" w:rsidRDefault="00127BEA" w:rsidP="00105739">
            <w:pPr>
              <w:rPr>
                <w:rFonts w:eastAsia="Calibri"/>
                <w:lang w:eastAsia="ru-RU"/>
              </w:rPr>
            </w:pPr>
            <w:r w:rsidRPr="00105739">
              <w:rPr>
                <w:rFonts w:eastAsia="Calibri"/>
                <w:lang w:eastAsia="ru-RU"/>
              </w:rPr>
              <w:t>Технічні вміння</w:t>
            </w:r>
          </w:p>
        </w:tc>
        <w:tc>
          <w:tcPr>
            <w:tcW w:w="6804" w:type="dxa"/>
            <w:gridSpan w:val="2"/>
          </w:tcPr>
          <w:p w:rsidR="00127BEA" w:rsidRDefault="00127BEA" w:rsidP="00105739">
            <w:pPr>
              <w:rPr>
                <w:rFonts w:eastAsia="Calibri"/>
                <w:lang w:eastAsia="ru-RU"/>
              </w:rPr>
            </w:pPr>
            <w:r w:rsidRPr="00105739">
              <w:rPr>
                <w:rFonts w:eastAsia="Calibri"/>
                <w:lang w:eastAsia="ru-RU"/>
              </w:rPr>
              <w:t>1) вміння використовувати комп'ютерне обладнання та програмне забезпечення, використовувати офісну техніку.</w:t>
            </w:r>
          </w:p>
          <w:p w:rsidR="00105739" w:rsidRPr="00105739" w:rsidRDefault="00105739" w:rsidP="00105739">
            <w:pPr>
              <w:rPr>
                <w:rFonts w:eastAsia="Calibri"/>
                <w:lang w:eastAsia="ru-RU"/>
              </w:rPr>
            </w:pPr>
          </w:p>
        </w:tc>
      </w:tr>
      <w:tr w:rsidR="00127BEA" w:rsidRPr="00105739" w:rsidTr="00590E29">
        <w:trPr>
          <w:trHeight w:val="166"/>
        </w:trPr>
        <w:tc>
          <w:tcPr>
            <w:tcW w:w="798" w:type="dxa"/>
          </w:tcPr>
          <w:p w:rsidR="00127BEA" w:rsidRPr="00105739" w:rsidRDefault="00127BEA" w:rsidP="00105739">
            <w:pPr>
              <w:jc w:val="center"/>
            </w:pPr>
            <w:r w:rsidRPr="00105739">
              <w:t>3</w:t>
            </w:r>
          </w:p>
        </w:tc>
        <w:tc>
          <w:tcPr>
            <w:tcW w:w="2552" w:type="dxa"/>
            <w:gridSpan w:val="2"/>
          </w:tcPr>
          <w:p w:rsidR="00127BEA" w:rsidRPr="00105739" w:rsidRDefault="00127BEA" w:rsidP="00105739">
            <w:pPr>
              <w:rPr>
                <w:rFonts w:eastAsia="Calibri"/>
                <w:lang w:eastAsia="ru-RU"/>
              </w:rPr>
            </w:pPr>
            <w:r w:rsidRPr="00105739">
              <w:rPr>
                <w:rFonts w:eastAsia="Calibri"/>
                <w:lang w:eastAsia="ru-RU"/>
              </w:rPr>
              <w:t>Особистісні компетенції</w:t>
            </w:r>
          </w:p>
        </w:tc>
        <w:tc>
          <w:tcPr>
            <w:tcW w:w="6804" w:type="dxa"/>
            <w:gridSpan w:val="2"/>
          </w:tcPr>
          <w:p w:rsidR="00127BEA" w:rsidRPr="00105739" w:rsidRDefault="00127BEA" w:rsidP="00105739">
            <w:pPr>
              <w:jc w:val="both"/>
              <w:rPr>
                <w:rFonts w:eastAsia="Calibri"/>
                <w:lang w:eastAsia="ru-RU"/>
              </w:rPr>
            </w:pPr>
            <w:r w:rsidRPr="00105739">
              <w:rPr>
                <w:rFonts w:eastAsia="Calibri"/>
                <w:lang w:eastAsia="ru-RU"/>
              </w:rPr>
              <w:t>1) відповідальність;</w:t>
            </w:r>
          </w:p>
          <w:p w:rsidR="00127BEA" w:rsidRPr="00105739" w:rsidRDefault="00127BEA" w:rsidP="00105739">
            <w:pPr>
              <w:jc w:val="both"/>
              <w:rPr>
                <w:rFonts w:eastAsia="Calibri"/>
                <w:lang w:eastAsia="ru-RU"/>
              </w:rPr>
            </w:pPr>
            <w:r w:rsidRPr="00105739">
              <w:rPr>
                <w:rFonts w:eastAsia="Calibri"/>
                <w:lang w:eastAsia="ru-RU"/>
              </w:rPr>
              <w:t>2) системність і самостійність в роботі;</w:t>
            </w:r>
          </w:p>
          <w:p w:rsidR="00127BEA" w:rsidRPr="00105739" w:rsidRDefault="00127BEA" w:rsidP="00105739">
            <w:pPr>
              <w:jc w:val="both"/>
              <w:rPr>
                <w:rFonts w:eastAsia="Calibri"/>
                <w:lang w:eastAsia="ru-RU"/>
              </w:rPr>
            </w:pPr>
            <w:r w:rsidRPr="00105739">
              <w:rPr>
                <w:rFonts w:eastAsia="Calibri"/>
                <w:lang w:eastAsia="ru-RU"/>
              </w:rPr>
              <w:t>3) уважність до деталей;</w:t>
            </w:r>
          </w:p>
          <w:p w:rsidR="00127BEA" w:rsidRPr="00105739" w:rsidRDefault="00127BEA" w:rsidP="00105739">
            <w:pPr>
              <w:jc w:val="both"/>
              <w:rPr>
                <w:rFonts w:eastAsia="Calibri"/>
                <w:lang w:eastAsia="ru-RU"/>
              </w:rPr>
            </w:pPr>
            <w:r w:rsidRPr="00105739">
              <w:rPr>
                <w:rFonts w:eastAsia="Calibri"/>
                <w:lang w:eastAsia="ru-RU"/>
              </w:rPr>
              <w:t>4) наполегливість;</w:t>
            </w:r>
          </w:p>
          <w:p w:rsidR="00127BEA" w:rsidRPr="00105739" w:rsidRDefault="00127BEA" w:rsidP="00105739">
            <w:pPr>
              <w:jc w:val="both"/>
              <w:rPr>
                <w:rFonts w:eastAsia="Calibri"/>
                <w:lang w:eastAsia="ru-RU"/>
              </w:rPr>
            </w:pPr>
            <w:r w:rsidRPr="00105739">
              <w:rPr>
                <w:rFonts w:eastAsia="Calibri"/>
                <w:lang w:eastAsia="ru-RU"/>
              </w:rPr>
              <w:t>5) креативність та ініціативність;</w:t>
            </w:r>
          </w:p>
          <w:p w:rsidR="00127BEA" w:rsidRPr="00105739" w:rsidRDefault="00127BEA" w:rsidP="00105739">
            <w:pPr>
              <w:jc w:val="both"/>
              <w:rPr>
                <w:rFonts w:eastAsia="Calibri"/>
                <w:lang w:eastAsia="ru-RU"/>
              </w:rPr>
            </w:pPr>
            <w:r w:rsidRPr="00105739">
              <w:rPr>
                <w:rFonts w:eastAsia="Calibri"/>
                <w:lang w:eastAsia="ru-RU"/>
              </w:rPr>
              <w:t>6) орієнтація на саморозвиток;</w:t>
            </w:r>
          </w:p>
          <w:p w:rsidR="00127BEA" w:rsidRDefault="00127BEA" w:rsidP="00105739">
            <w:pPr>
              <w:jc w:val="both"/>
              <w:rPr>
                <w:rFonts w:eastAsia="Calibri"/>
                <w:lang w:eastAsia="ru-RU"/>
              </w:rPr>
            </w:pPr>
            <w:r w:rsidRPr="00105739">
              <w:rPr>
                <w:rFonts w:eastAsia="Calibri"/>
                <w:lang w:eastAsia="ru-RU"/>
              </w:rPr>
              <w:t>7) орієнтація на обслуговування.</w:t>
            </w:r>
          </w:p>
          <w:p w:rsidR="00105739" w:rsidRPr="00105739" w:rsidRDefault="00105739" w:rsidP="00105739">
            <w:pPr>
              <w:jc w:val="both"/>
              <w:rPr>
                <w:rFonts w:eastAsia="Calibri"/>
                <w:lang w:eastAsia="ru-RU"/>
              </w:rPr>
            </w:pPr>
          </w:p>
        </w:tc>
      </w:tr>
      <w:tr w:rsidR="00127BEA" w:rsidRPr="00105739" w:rsidTr="00590E29">
        <w:trPr>
          <w:trHeight w:val="166"/>
        </w:trPr>
        <w:tc>
          <w:tcPr>
            <w:tcW w:w="10154" w:type="dxa"/>
            <w:gridSpan w:val="5"/>
          </w:tcPr>
          <w:p w:rsidR="00127BEA" w:rsidRPr="00105739" w:rsidRDefault="00127BEA" w:rsidP="00105739">
            <w:pPr>
              <w:jc w:val="center"/>
              <w:rPr>
                <w:rFonts w:eastAsia="Calibri"/>
                <w:b/>
                <w:bCs/>
              </w:rPr>
            </w:pPr>
            <w:r w:rsidRPr="00105739">
              <w:rPr>
                <w:rFonts w:eastAsia="Calibri"/>
                <w:b/>
                <w:bCs/>
              </w:rPr>
              <w:lastRenderedPageBreak/>
              <w:t>Професійні знання</w:t>
            </w:r>
          </w:p>
        </w:tc>
      </w:tr>
      <w:tr w:rsidR="00127BEA" w:rsidRPr="00105739" w:rsidTr="00590E29">
        <w:trPr>
          <w:trHeight w:val="329"/>
        </w:trPr>
        <w:tc>
          <w:tcPr>
            <w:tcW w:w="3350" w:type="dxa"/>
            <w:gridSpan w:val="3"/>
          </w:tcPr>
          <w:p w:rsidR="00127BEA" w:rsidRPr="00105739" w:rsidRDefault="00127BEA" w:rsidP="00105739">
            <w:pPr>
              <w:jc w:val="center"/>
              <w:rPr>
                <w:b/>
              </w:rPr>
            </w:pPr>
            <w:r w:rsidRPr="00105739">
              <w:rPr>
                <w:b/>
              </w:rPr>
              <w:t>Вимога</w:t>
            </w:r>
          </w:p>
        </w:tc>
        <w:tc>
          <w:tcPr>
            <w:tcW w:w="6804" w:type="dxa"/>
            <w:gridSpan w:val="2"/>
          </w:tcPr>
          <w:p w:rsidR="00127BEA" w:rsidRPr="00105739" w:rsidRDefault="00127BEA" w:rsidP="00105739">
            <w:pPr>
              <w:jc w:val="center"/>
              <w:rPr>
                <w:b/>
              </w:rPr>
            </w:pPr>
            <w:r w:rsidRPr="00105739">
              <w:rPr>
                <w:b/>
              </w:rPr>
              <w:t>Компоненти вимоги</w:t>
            </w:r>
          </w:p>
        </w:tc>
      </w:tr>
      <w:tr w:rsidR="00127BEA" w:rsidRPr="00105739" w:rsidTr="00590E29">
        <w:trPr>
          <w:trHeight w:val="166"/>
        </w:trPr>
        <w:tc>
          <w:tcPr>
            <w:tcW w:w="798" w:type="dxa"/>
          </w:tcPr>
          <w:p w:rsidR="00127BEA" w:rsidRPr="00105739" w:rsidRDefault="00127BEA" w:rsidP="00105739">
            <w:pPr>
              <w:jc w:val="center"/>
            </w:pPr>
            <w:r w:rsidRPr="00105739">
              <w:t>1</w:t>
            </w:r>
          </w:p>
        </w:tc>
        <w:tc>
          <w:tcPr>
            <w:tcW w:w="2552" w:type="dxa"/>
            <w:gridSpan w:val="2"/>
          </w:tcPr>
          <w:p w:rsidR="00127BEA" w:rsidRPr="00105739" w:rsidRDefault="00127BEA" w:rsidP="00105739">
            <w:pPr>
              <w:spacing w:before="100" w:beforeAutospacing="1" w:after="100" w:afterAutospacing="1"/>
              <w:rPr>
                <w:rFonts w:eastAsia="Calibri"/>
              </w:rPr>
            </w:pPr>
            <w:r w:rsidRPr="00105739">
              <w:rPr>
                <w:rFonts w:eastAsia="Calibri"/>
              </w:rPr>
              <w:t>Знання законодавства</w:t>
            </w:r>
          </w:p>
        </w:tc>
        <w:tc>
          <w:tcPr>
            <w:tcW w:w="6804" w:type="dxa"/>
            <w:gridSpan w:val="2"/>
          </w:tcPr>
          <w:p w:rsidR="00127BEA" w:rsidRPr="00105739" w:rsidRDefault="00127BEA" w:rsidP="00105739">
            <w:pPr>
              <w:numPr>
                <w:ilvl w:val="0"/>
                <w:numId w:val="1"/>
              </w:numPr>
              <w:tabs>
                <w:tab w:val="left" w:pos="327"/>
              </w:tabs>
              <w:ind w:left="44" w:firstLine="0"/>
            </w:pPr>
            <w:r w:rsidRPr="00105739">
              <w:t>Конституція України;</w:t>
            </w:r>
          </w:p>
          <w:p w:rsidR="00127BEA" w:rsidRPr="00105739" w:rsidRDefault="00127BEA" w:rsidP="00105739">
            <w:pPr>
              <w:numPr>
                <w:ilvl w:val="0"/>
                <w:numId w:val="1"/>
              </w:numPr>
              <w:tabs>
                <w:tab w:val="left" w:pos="327"/>
              </w:tabs>
              <w:ind w:left="44" w:firstLine="0"/>
            </w:pPr>
            <w:r w:rsidRPr="00105739">
              <w:t>Закон України «Про державну службу»;</w:t>
            </w:r>
          </w:p>
          <w:p w:rsidR="00127BEA" w:rsidRPr="00105739" w:rsidRDefault="00127BEA" w:rsidP="00105739">
            <w:pPr>
              <w:numPr>
                <w:ilvl w:val="0"/>
                <w:numId w:val="1"/>
              </w:numPr>
              <w:tabs>
                <w:tab w:val="left" w:pos="327"/>
              </w:tabs>
              <w:ind w:left="44" w:firstLine="0"/>
              <w:rPr>
                <w:bCs/>
              </w:rPr>
            </w:pPr>
            <w:r w:rsidRPr="00105739">
              <w:t>Закон України «Про запобігання корупції».</w:t>
            </w:r>
          </w:p>
        </w:tc>
      </w:tr>
      <w:tr w:rsidR="00127BEA" w:rsidRPr="009E4F8B" w:rsidTr="00590E29">
        <w:trPr>
          <w:trHeight w:val="166"/>
        </w:trPr>
        <w:tc>
          <w:tcPr>
            <w:tcW w:w="798" w:type="dxa"/>
          </w:tcPr>
          <w:p w:rsidR="00127BEA" w:rsidRPr="00105739" w:rsidRDefault="00127BEA" w:rsidP="00105739">
            <w:pPr>
              <w:jc w:val="center"/>
            </w:pPr>
            <w:r w:rsidRPr="00105739">
              <w:t>2</w:t>
            </w:r>
          </w:p>
        </w:tc>
        <w:tc>
          <w:tcPr>
            <w:tcW w:w="2552" w:type="dxa"/>
            <w:gridSpan w:val="2"/>
          </w:tcPr>
          <w:p w:rsidR="00127BEA" w:rsidRPr="00105739" w:rsidRDefault="00127BEA" w:rsidP="00105739">
            <w:pPr>
              <w:spacing w:before="100" w:beforeAutospacing="1" w:after="100" w:afterAutospacing="1"/>
              <w:rPr>
                <w:rFonts w:eastAsia="Calibri"/>
              </w:rPr>
            </w:pPr>
            <w:r w:rsidRPr="00105739">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127BEA" w:rsidRPr="00105739" w:rsidRDefault="00127BEA" w:rsidP="00105739">
            <w:pPr>
              <w:numPr>
                <w:ilvl w:val="0"/>
                <w:numId w:val="6"/>
              </w:numPr>
              <w:tabs>
                <w:tab w:val="left" w:pos="341"/>
              </w:tabs>
              <w:spacing w:before="100" w:beforeAutospacing="1" w:after="100" w:afterAutospacing="1"/>
              <w:ind w:left="57" w:firstLine="0"/>
            </w:pPr>
            <w:r w:rsidRPr="00105739">
              <w:t>Закон України «Про судоустрій і статус суддів»;</w:t>
            </w:r>
          </w:p>
          <w:p w:rsidR="00127BEA" w:rsidRPr="00105739" w:rsidRDefault="00127BEA" w:rsidP="00105739">
            <w:pPr>
              <w:numPr>
                <w:ilvl w:val="0"/>
                <w:numId w:val="6"/>
              </w:numPr>
              <w:tabs>
                <w:tab w:val="left" w:pos="341"/>
              </w:tabs>
              <w:spacing w:before="100" w:beforeAutospacing="1" w:after="100" w:afterAutospacing="1"/>
              <w:ind w:left="57" w:firstLine="0"/>
            </w:pPr>
            <w:r w:rsidRPr="00105739">
              <w:t>Господарський процесуальний кодекс України;</w:t>
            </w:r>
          </w:p>
          <w:p w:rsidR="00127BEA" w:rsidRPr="00105739" w:rsidRDefault="00127BEA" w:rsidP="00105739">
            <w:pPr>
              <w:numPr>
                <w:ilvl w:val="0"/>
                <w:numId w:val="6"/>
              </w:numPr>
              <w:tabs>
                <w:tab w:val="left" w:pos="341"/>
              </w:tabs>
              <w:spacing w:before="100" w:beforeAutospacing="1" w:after="100" w:afterAutospacing="1"/>
              <w:ind w:left="57" w:firstLine="0"/>
            </w:pPr>
            <w:r w:rsidRPr="00105739">
              <w:t xml:space="preserve">Закон України «Про інформацію»; </w:t>
            </w:r>
          </w:p>
          <w:p w:rsidR="00127BEA" w:rsidRPr="00105739" w:rsidRDefault="00127BEA" w:rsidP="00105739">
            <w:pPr>
              <w:numPr>
                <w:ilvl w:val="0"/>
                <w:numId w:val="6"/>
              </w:numPr>
              <w:tabs>
                <w:tab w:val="left" w:pos="341"/>
              </w:tabs>
              <w:spacing w:before="100" w:beforeAutospacing="1" w:after="100" w:afterAutospacing="1"/>
              <w:ind w:left="57" w:firstLine="0"/>
            </w:pPr>
            <w:r w:rsidRPr="00105739">
              <w:t>Закон України «Про звернення громадян»;</w:t>
            </w:r>
          </w:p>
          <w:p w:rsidR="00127BEA" w:rsidRPr="00105739" w:rsidRDefault="00127BEA" w:rsidP="00105739">
            <w:pPr>
              <w:numPr>
                <w:ilvl w:val="0"/>
                <w:numId w:val="6"/>
              </w:numPr>
              <w:tabs>
                <w:tab w:val="left" w:pos="341"/>
              </w:tabs>
              <w:spacing w:before="100" w:beforeAutospacing="1" w:after="100" w:afterAutospacing="1"/>
              <w:ind w:left="57" w:firstLine="0"/>
            </w:pPr>
            <w:r w:rsidRPr="00105739">
              <w:t>Закон України «Про доступ до публічної інформації»;</w:t>
            </w:r>
          </w:p>
          <w:p w:rsidR="00127BEA" w:rsidRPr="00105739" w:rsidRDefault="00127BEA" w:rsidP="00105739">
            <w:pPr>
              <w:numPr>
                <w:ilvl w:val="0"/>
                <w:numId w:val="6"/>
              </w:numPr>
              <w:tabs>
                <w:tab w:val="left" w:pos="341"/>
              </w:tabs>
              <w:spacing w:before="100" w:beforeAutospacing="1" w:after="100" w:afterAutospacing="1"/>
              <w:ind w:left="57" w:firstLine="0"/>
              <w:rPr>
                <w:bCs/>
              </w:rPr>
            </w:pPr>
            <w:r w:rsidRPr="00105739">
              <w:t>Закон України «Про доступ до судових рішень».</w:t>
            </w:r>
          </w:p>
        </w:tc>
      </w:tr>
    </w:tbl>
    <w:p w:rsidR="00590E29" w:rsidRPr="009E4F8B" w:rsidRDefault="00590E29" w:rsidP="00105739"/>
    <w:sectPr w:rsidR="00590E29" w:rsidRPr="009E4F8B" w:rsidSect="008151D5">
      <w:headerReference w:type="default" r:id="rId8"/>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BB" w:rsidRDefault="003814BB" w:rsidP="00BE5B37">
      <w:r>
        <w:separator/>
      </w:r>
    </w:p>
  </w:endnote>
  <w:endnote w:type="continuationSeparator" w:id="0">
    <w:p w:rsidR="003814BB" w:rsidRDefault="003814BB"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BB" w:rsidRDefault="003814BB" w:rsidP="00BE5B37">
      <w:r>
        <w:separator/>
      </w:r>
    </w:p>
  </w:footnote>
  <w:footnote w:type="continuationSeparator" w:id="0">
    <w:p w:rsidR="003814BB" w:rsidRDefault="003814BB"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105739" w:rsidRPr="00105739">
      <w:rPr>
        <w:noProof/>
        <w:lang w:val="ru-RU"/>
      </w:rPr>
      <w:t>2</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360" w:hanging="360"/>
      </w:pPr>
      <w:rPr>
        <w:rFonts w:hint="default"/>
        <w:sz w:val="22"/>
        <w:szCs w:val="22"/>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AF60D6"/>
    <w:multiLevelType w:val="hybridMultilevel"/>
    <w:tmpl w:val="590692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65A7F35"/>
    <w:multiLevelType w:val="hybridMultilevel"/>
    <w:tmpl w:val="4B72BC38"/>
    <w:lvl w:ilvl="0" w:tplc="B296AD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667B51D1"/>
    <w:multiLevelType w:val="hybridMultilevel"/>
    <w:tmpl w:val="C2389760"/>
    <w:lvl w:ilvl="0" w:tplc="E962E23E">
      <w:start w:val="1"/>
      <w:numFmt w:val="decimal"/>
      <w:lvlText w:val="%1)"/>
      <w:lvlJc w:val="left"/>
      <w:pPr>
        <w:ind w:left="735" w:hanging="375"/>
      </w:pPr>
      <w:rPr>
        <w:rFonts w:ascii="Times New Roman" w:hAnsi="Times New Roman" w:cs="Times New Roman" w:hint="default"/>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6"/>
  </w:num>
  <w:num w:numId="2">
    <w:abstractNumId w:val="0"/>
  </w:num>
  <w:num w:numId="3">
    <w:abstractNumId w:val="9"/>
  </w:num>
  <w:num w:numId="4">
    <w:abstractNumId w:val="12"/>
  </w:num>
  <w:num w:numId="5">
    <w:abstractNumId w:val="2"/>
  </w:num>
  <w:num w:numId="6">
    <w:abstractNumId w:val="3"/>
  </w:num>
  <w:num w:numId="7">
    <w:abstractNumId w:val="7"/>
  </w:num>
  <w:num w:numId="8">
    <w:abstractNumId w:val="1"/>
  </w:num>
  <w:num w:numId="9">
    <w:abstractNumId w:val="10"/>
  </w:num>
  <w:num w:numId="10">
    <w:abstractNumId w:val="4"/>
  </w:num>
  <w:num w:numId="11">
    <w:abstractNumId w:val="5"/>
  </w:num>
  <w:num w:numId="12">
    <w:abstractNumId w:val="8"/>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57F8C"/>
    <w:rsid w:val="00061437"/>
    <w:rsid w:val="00062ACD"/>
    <w:rsid w:val="00072320"/>
    <w:rsid w:val="00074108"/>
    <w:rsid w:val="0007447E"/>
    <w:rsid w:val="00095D31"/>
    <w:rsid w:val="000A2375"/>
    <w:rsid w:val="000B19EC"/>
    <w:rsid w:val="000B3868"/>
    <w:rsid w:val="000D37EF"/>
    <w:rsid w:val="000E1DAB"/>
    <w:rsid w:val="000E556D"/>
    <w:rsid w:val="000F4470"/>
    <w:rsid w:val="000F494F"/>
    <w:rsid w:val="00105739"/>
    <w:rsid w:val="00106DE3"/>
    <w:rsid w:val="00115237"/>
    <w:rsid w:val="0012328F"/>
    <w:rsid w:val="00126CD3"/>
    <w:rsid w:val="00127BEA"/>
    <w:rsid w:val="00137896"/>
    <w:rsid w:val="00167A20"/>
    <w:rsid w:val="00170475"/>
    <w:rsid w:val="001843E4"/>
    <w:rsid w:val="001979FC"/>
    <w:rsid w:val="001C32AD"/>
    <w:rsid w:val="001C71FC"/>
    <w:rsid w:val="001D127F"/>
    <w:rsid w:val="001D485E"/>
    <w:rsid w:val="00203362"/>
    <w:rsid w:val="002067BE"/>
    <w:rsid w:val="00212510"/>
    <w:rsid w:val="00215830"/>
    <w:rsid w:val="00221451"/>
    <w:rsid w:val="0022394C"/>
    <w:rsid w:val="0025119A"/>
    <w:rsid w:val="0025757A"/>
    <w:rsid w:val="00270195"/>
    <w:rsid w:val="00270C31"/>
    <w:rsid w:val="002773DD"/>
    <w:rsid w:val="002B0D43"/>
    <w:rsid w:val="002B1C99"/>
    <w:rsid w:val="002B6DD2"/>
    <w:rsid w:val="002C2ECE"/>
    <w:rsid w:val="002C5D30"/>
    <w:rsid w:val="002C7780"/>
    <w:rsid w:val="002E749B"/>
    <w:rsid w:val="002F7A91"/>
    <w:rsid w:val="00301FA5"/>
    <w:rsid w:val="00303B28"/>
    <w:rsid w:val="00304E6A"/>
    <w:rsid w:val="00305C10"/>
    <w:rsid w:val="0030731F"/>
    <w:rsid w:val="003163B0"/>
    <w:rsid w:val="00324203"/>
    <w:rsid w:val="0033377A"/>
    <w:rsid w:val="003452CB"/>
    <w:rsid w:val="003514CE"/>
    <w:rsid w:val="003606AB"/>
    <w:rsid w:val="00370F2D"/>
    <w:rsid w:val="003814BB"/>
    <w:rsid w:val="003916C5"/>
    <w:rsid w:val="003A3C36"/>
    <w:rsid w:val="003A72F5"/>
    <w:rsid w:val="003B09E4"/>
    <w:rsid w:val="003B75A1"/>
    <w:rsid w:val="003C1C24"/>
    <w:rsid w:val="003F3C5E"/>
    <w:rsid w:val="00412424"/>
    <w:rsid w:val="004378B6"/>
    <w:rsid w:val="00441926"/>
    <w:rsid w:val="00450529"/>
    <w:rsid w:val="00454C0F"/>
    <w:rsid w:val="0045670C"/>
    <w:rsid w:val="0046691C"/>
    <w:rsid w:val="00480628"/>
    <w:rsid w:val="00494982"/>
    <w:rsid w:val="004C5086"/>
    <w:rsid w:val="004E35A0"/>
    <w:rsid w:val="004F1322"/>
    <w:rsid w:val="004F3D06"/>
    <w:rsid w:val="00504AB4"/>
    <w:rsid w:val="00511BD0"/>
    <w:rsid w:val="00512FED"/>
    <w:rsid w:val="0052473F"/>
    <w:rsid w:val="005633D0"/>
    <w:rsid w:val="00571034"/>
    <w:rsid w:val="005729EA"/>
    <w:rsid w:val="00590E29"/>
    <w:rsid w:val="005A3B75"/>
    <w:rsid w:val="005B0D48"/>
    <w:rsid w:val="005C2B54"/>
    <w:rsid w:val="005D081B"/>
    <w:rsid w:val="005D1E9F"/>
    <w:rsid w:val="005E274D"/>
    <w:rsid w:val="005E436B"/>
    <w:rsid w:val="005F25BB"/>
    <w:rsid w:val="005F76D3"/>
    <w:rsid w:val="006225DB"/>
    <w:rsid w:val="00640B6D"/>
    <w:rsid w:val="00670F5C"/>
    <w:rsid w:val="0067402E"/>
    <w:rsid w:val="0069483A"/>
    <w:rsid w:val="006A0C5A"/>
    <w:rsid w:val="006D1527"/>
    <w:rsid w:val="006D313E"/>
    <w:rsid w:val="006E6E53"/>
    <w:rsid w:val="006F42FF"/>
    <w:rsid w:val="006F72E1"/>
    <w:rsid w:val="0072734E"/>
    <w:rsid w:val="00740779"/>
    <w:rsid w:val="007459A3"/>
    <w:rsid w:val="00745AB6"/>
    <w:rsid w:val="00763C55"/>
    <w:rsid w:val="00772D62"/>
    <w:rsid w:val="007A03DA"/>
    <w:rsid w:val="007C1A90"/>
    <w:rsid w:val="007E145F"/>
    <w:rsid w:val="007F1E42"/>
    <w:rsid w:val="007F1FE0"/>
    <w:rsid w:val="008151D5"/>
    <w:rsid w:val="00836C33"/>
    <w:rsid w:val="00837492"/>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45E5B"/>
    <w:rsid w:val="00954A5D"/>
    <w:rsid w:val="00961C48"/>
    <w:rsid w:val="00964524"/>
    <w:rsid w:val="00964536"/>
    <w:rsid w:val="00984C0D"/>
    <w:rsid w:val="00986D86"/>
    <w:rsid w:val="00994A67"/>
    <w:rsid w:val="009B60D2"/>
    <w:rsid w:val="009C5E48"/>
    <w:rsid w:val="009E4F8B"/>
    <w:rsid w:val="009E5982"/>
    <w:rsid w:val="00A003BE"/>
    <w:rsid w:val="00A05119"/>
    <w:rsid w:val="00A40796"/>
    <w:rsid w:val="00A419C2"/>
    <w:rsid w:val="00A459D5"/>
    <w:rsid w:val="00A72172"/>
    <w:rsid w:val="00A740EF"/>
    <w:rsid w:val="00A959EB"/>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B6AC0"/>
    <w:rsid w:val="00BE06BB"/>
    <w:rsid w:val="00BE5B37"/>
    <w:rsid w:val="00BF34D5"/>
    <w:rsid w:val="00BF3539"/>
    <w:rsid w:val="00BF3CE0"/>
    <w:rsid w:val="00C1034E"/>
    <w:rsid w:val="00C1081D"/>
    <w:rsid w:val="00C17854"/>
    <w:rsid w:val="00C2387E"/>
    <w:rsid w:val="00C30E31"/>
    <w:rsid w:val="00C37C7B"/>
    <w:rsid w:val="00C43BF3"/>
    <w:rsid w:val="00C546F1"/>
    <w:rsid w:val="00C54D35"/>
    <w:rsid w:val="00C6528C"/>
    <w:rsid w:val="00C66DE3"/>
    <w:rsid w:val="00C73899"/>
    <w:rsid w:val="00C80E21"/>
    <w:rsid w:val="00C84F3C"/>
    <w:rsid w:val="00C90E3C"/>
    <w:rsid w:val="00CF0AFB"/>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30633"/>
    <w:rsid w:val="00E41BA7"/>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09C7"/>
    <w:rsid w:val="00EC35D2"/>
    <w:rsid w:val="00EC4B17"/>
    <w:rsid w:val="00ED4C45"/>
    <w:rsid w:val="00EE6EC7"/>
    <w:rsid w:val="00EF7C71"/>
    <w:rsid w:val="00F07B6C"/>
    <w:rsid w:val="00F239B3"/>
    <w:rsid w:val="00F24B5D"/>
    <w:rsid w:val="00F27658"/>
    <w:rsid w:val="00F3150D"/>
    <w:rsid w:val="00F46808"/>
    <w:rsid w:val="00F5185E"/>
    <w:rsid w:val="00F602B1"/>
    <w:rsid w:val="00F801E9"/>
    <w:rsid w:val="00F810A2"/>
    <w:rsid w:val="00FA18FB"/>
    <w:rsid w:val="00FA4D8E"/>
    <w:rsid w:val="00FC054A"/>
    <w:rsid w:val="00FC27A0"/>
    <w:rsid w:val="00FC76F5"/>
    <w:rsid w:val="00FD6FE3"/>
    <w:rsid w:val="00FE4C31"/>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 w:id="20780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2983</Words>
  <Characters>1701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3</cp:revision>
  <cp:lastPrinted>2019-07-10T08:01:00Z</cp:lastPrinted>
  <dcterms:created xsi:type="dcterms:W3CDTF">2019-09-11T08:03:00Z</dcterms:created>
  <dcterms:modified xsi:type="dcterms:W3CDTF">2019-09-11T08:14:00Z</dcterms:modified>
</cp:coreProperties>
</file>